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margin" w:tblpXSpec="right" w:tblpY="3302"/>
        <w:tblW w:w="2999" w:type="pct"/>
        <w:tblBorders>
          <w:top w:val="single" w:sz="36" w:space="0" w:color="2E4117"/>
          <w:bottom w:val="single" w:sz="36" w:space="0" w:color="2E4117"/>
          <w:insideH w:val="single" w:sz="36" w:space="0" w:color="2E4117"/>
          <w:insideV w:val="single" w:sz="36" w:space="0" w:color="9BBB59"/>
        </w:tblBorders>
        <w:tblCellMar>
          <w:top w:w="360" w:type="dxa"/>
          <w:left w:w="115" w:type="dxa"/>
          <w:bottom w:w="360" w:type="dxa"/>
          <w:right w:w="115" w:type="dxa"/>
        </w:tblCellMar>
        <w:tblLook w:val="04A0" w:firstRow="1" w:lastRow="0" w:firstColumn="1" w:lastColumn="0" w:noHBand="0" w:noVBand="1"/>
      </w:tblPr>
      <w:tblGrid>
        <w:gridCol w:w="4837"/>
      </w:tblGrid>
      <w:tr w:rsidR="00673614" w:rsidRPr="00E74524" w14:paraId="0D2BFA90" w14:textId="77777777" w:rsidTr="000637DA">
        <w:tc>
          <w:tcPr>
            <w:tcW w:w="5000" w:type="pct"/>
          </w:tcPr>
          <w:p w14:paraId="132E629C" w14:textId="77777777" w:rsidR="00673614" w:rsidRPr="000637DA" w:rsidRDefault="0047275D" w:rsidP="00D0353D">
            <w:pPr>
              <w:pStyle w:val="a"/>
              <w:spacing w:after="120" w:line="240" w:lineRule="auto"/>
              <w:rPr>
                <w:rFonts w:ascii="Helvetica" w:eastAsia="Times New Roman" w:hAnsi="Helvetica" w:cs="Arial"/>
                <w:sz w:val="48"/>
                <w:szCs w:val="48"/>
              </w:rPr>
            </w:pPr>
            <w:r w:rsidRPr="000637DA">
              <w:rPr>
                <w:rFonts w:ascii="Helvetica" w:eastAsia="Times New Roman" w:hAnsi="Helvetica" w:cs="Arial"/>
                <w:sz w:val="48"/>
                <w:szCs w:val="48"/>
              </w:rPr>
              <w:t xml:space="preserve">Guide to the </w:t>
            </w:r>
            <w:r w:rsidR="00AF7D85" w:rsidRPr="000637DA">
              <w:rPr>
                <w:rFonts w:ascii="Helvetica" w:eastAsia="Times New Roman" w:hAnsi="Helvetica" w:cs="Arial"/>
                <w:sz w:val="48"/>
                <w:szCs w:val="48"/>
              </w:rPr>
              <w:t>2014</w:t>
            </w:r>
            <w:r w:rsidR="00673614" w:rsidRPr="000637DA">
              <w:rPr>
                <w:rFonts w:ascii="Helvetica" w:eastAsia="Times New Roman" w:hAnsi="Helvetica" w:cs="Arial"/>
                <w:sz w:val="48"/>
                <w:szCs w:val="48"/>
              </w:rPr>
              <w:t xml:space="preserve"> Conditions for Accreditation</w:t>
            </w:r>
            <w:r w:rsidR="00AF7D85" w:rsidRPr="000637DA">
              <w:rPr>
                <w:rFonts w:ascii="Helvetica" w:eastAsia="Times New Roman" w:hAnsi="Helvetica" w:cs="Arial"/>
                <w:sz w:val="48"/>
                <w:szCs w:val="48"/>
              </w:rPr>
              <w:t xml:space="preserve"> </w:t>
            </w:r>
            <w:r w:rsidRPr="000637DA">
              <w:rPr>
                <w:rFonts w:ascii="Helvetica" w:eastAsia="Times New Roman" w:hAnsi="Helvetica" w:cs="Arial"/>
                <w:sz w:val="48"/>
                <w:szCs w:val="48"/>
              </w:rPr>
              <w:t xml:space="preserve">and </w:t>
            </w:r>
            <w:r w:rsidR="00162186" w:rsidRPr="000637DA">
              <w:rPr>
                <w:rFonts w:ascii="Helvetica" w:eastAsia="Times New Roman" w:hAnsi="Helvetica" w:cs="Arial"/>
                <w:sz w:val="48"/>
                <w:szCs w:val="48"/>
              </w:rPr>
              <w:t xml:space="preserve">Preparation of </w:t>
            </w:r>
            <w:r w:rsidRPr="000637DA">
              <w:rPr>
                <w:rFonts w:ascii="Helvetica" w:eastAsia="Times New Roman" w:hAnsi="Helvetica" w:cs="Arial"/>
                <w:sz w:val="48"/>
                <w:szCs w:val="48"/>
              </w:rPr>
              <w:t>a</w:t>
            </w:r>
            <w:r w:rsidR="0051304E" w:rsidRPr="000637DA">
              <w:rPr>
                <w:rFonts w:ascii="Helvetica" w:eastAsia="Times New Roman" w:hAnsi="Helvetica" w:cs="Arial"/>
                <w:sz w:val="48"/>
                <w:szCs w:val="48"/>
              </w:rPr>
              <w:t>n</w:t>
            </w:r>
            <w:r w:rsidRPr="000637DA">
              <w:rPr>
                <w:rFonts w:ascii="Helvetica" w:eastAsia="Times New Roman" w:hAnsi="Helvetica" w:cs="Arial"/>
                <w:sz w:val="48"/>
                <w:szCs w:val="48"/>
              </w:rPr>
              <w:t xml:space="preserve"> Architecture Program Report</w:t>
            </w:r>
            <w:r w:rsidR="005C67D4" w:rsidRPr="000637DA">
              <w:rPr>
                <w:rFonts w:ascii="Helvetica" w:eastAsia="Times New Roman" w:hAnsi="Helvetica" w:cs="Arial"/>
                <w:sz w:val="48"/>
                <w:szCs w:val="48"/>
              </w:rPr>
              <w:t xml:space="preserve"> </w:t>
            </w:r>
          </w:p>
          <w:p w14:paraId="5928CC21" w14:textId="40FE560B" w:rsidR="000637DA" w:rsidRPr="00D0353D" w:rsidRDefault="000637DA" w:rsidP="00D0353D">
            <w:pPr>
              <w:pStyle w:val="NoSpacing"/>
              <w:jc w:val="center"/>
              <w:rPr>
                <w:rFonts w:ascii="Helvetica" w:hAnsi="Helvetica"/>
                <w:smallCaps/>
                <w:sz w:val="40"/>
                <w:szCs w:val="40"/>
              </w:rPr>
            </w:pPr>
            <w:r w:rsidRPr="00D0353D">
              <w:rPr>
                <w:rFonts w:ascii="Helvetica" w:hAnsi="Helvetica"/>
                <w:smallCaps/>
                <w:color w:val="2E4117"/>
                <w:sz w:val="40"/>
                <w:szCs w:val="40"/>
              </w:rPr>
              <w:t>2</w:t>
            </w:r>
            <w:r w:rsidRPr="00D0353D">
              <w:rPr>
                <w:rFonts w:ascii="Helvetica" w:hAnsi="Helvetica"/>
                <w:smallCaps/>
                <w:color w:val="2E4117"/>
                <w:sz w:val="40"/>
                <w:szCs w:val="40"/>
                <w:vertAlign w:val="superscript"/>
              </w:rPr>
              <w:t>nd</w:t>
            </w:r>
            <w:r w:rsidRPr="00D0353D">
              <w:rPr>
                <w:rFonts w:ascii="Helvetica" w:hAnsi="Helvetica"/>
                <w:smallCaps/>
                <w:color w:val="2E4117"/>
                <w:sz w:val="40"/>
                <w:szCs w:val="40"/>
              </w:rPr>
              <w:t xml:space="preserve"> Edition</w:t>
            </w:r>
          </w:p>
        </w:tc>
      </w:tr>
      <w:tr w:rsidR="00673614" w:rsidRPr="00E74524" w14:paraId="63647EFE" w14:textId="77777777" w:rsidTr="00D0353D">
        <w:trPr>
          <w:trHeight w:val="1566"/>
        </w:trPr>
        <w:tc>
          <w:tcPr>
            <w:tcW w:w="5000" w:type="pct"/>
          </w:tcPr>
          <w:p w14:paraId="6B38215B" w14:textId="77777777" w:rsidR="00673614" w:rsidRPr="006C546F" w:rsidRDefault="00721ABE" w:rsidP="007A4663">
            <w:pPr>
              <w:pStyle w:val="a"/>
              <w:rPr>
                <w:rFonts w:ascii="Arial" w:hAnsi="Arial" w:cs="Arial"/>
                <w:sz w:val="40"/>
                <w:szCs w:val="40"/>
              </w:rPr>
            </w:pPr>
            <w:r>
              <w:rPr>
                <w:noProof/>
                <w:sz w:val="28"/>
                <w:szCs w:val="28"/>
              </w:rPr>
              <w:drawing>
                <wp:inline distT="0" distB="0" distL="0" distR="0" wp14:anchorId="6DC987D9" wp14:editId="7715C58A">
                  <wp:extent cx="1772951" cy="940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b logo bw copy.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72951" cy="940435"/>
                          </a:xfrm>
                          <a:prstGeom prst="rect">
                            <a:avLst/>
                          </a:prstGeom>
                          <a:noFill/>
                          <a:ln>
                            <a:noFill/>
                          </a:ln>
                        </pic:spPr>
                      </pic:pic>
                    </a:graphicData>
                  </a:graphic>
                </wp:inline>
              </w:drawing>
            </w:r>
          </w:p>
        </w:tc>
      </w:tr>
      <w:tr w:rsidR="00673614" w:rsidRPr="00E74524" w14:paraId="490810E5" w14:textId="77777777" w:rsidTr="00D0353D">
        <w:trPr>
          <w:trHeight w:val="369"/>
        </w:trPr>
        <w:tc>
          <w:tcPr>
            <w:tcW w:w="5000" w:type="pct"/>
          </w:tcPr>
          <w:p w14:paraId="2168B582" w14:textId="43A08A5A" w:rsidR="00673614" w:rsidRPr="000637DA" w:rsidRDefault="000637DA" w:rsidP="00774FF8">
            <w:pPr>
              <w:pStyle w:val="a"/>
              <w:rPr>
                <w:rFonts w:ascii="Helvetica" w:hAnsi="Helvetica" w:cs="Arial"/>
                <w:b/>
                <w:sz w:val="36"/>
                <w:szCs w:val="36"/>
              </w:rPr>
            </w:pPr>
            <w:r w:rsidRPr="000637DA">
              <w:rPr>
                <w:rFonts w:ascii="Helvetica" w:hAnsi="Helvetica" w:cs="Arial"/>
                <w:b/>
                <w:sz w:val="36"/>
                <w:szCs w:val="36"/>
              </w:rPr>
              <w:t>September 30, 2016</w:t>
            </w:r>
          </w:p>
        </w:tc>
      </w:tr>
    </w:tbl>
    <w:p w14:paraId="557D04C5" w14:textId="77777777" w:rsidR="00673614" w:rsidRDefault="00673614"/>
    <w:p w14:paraId="382CE2C4" w14:textId="7474DED6" w:rsidR="00673614" w:rsidRPr="006D5EBB" w:rsidRDefault="00814809">
      <w:pPr>
        <w:spacing w:after="0" w:line="240" w:lineRule="auto"/>
        <w:ind w:left="907"/>
        <w:rPr>
          <w:rFonts w:ascii="Arial" w:eastAsia="Times New Roman" w:hAnsi="Arial" w:cs="Arial"/>
          <w:sz w:val="20"/>
          <w:szCs w:val="20"/>
        </w:rPr>
      </w:pPr>
      <w:r w:rsidRPr="00D52774">
        <w:rPr>
          <w:rFonts w:ascii="Arial" w:eastAsia="Times New Roman" w:hAnsi="Arial" w:cs="Arial"/>
          <w:noProof/>
          <w:sz w:val="20"/>
          <w:szCs w:val="20"/>
        </w:rPr>
        <mc:AlternateContent>
          <mc:Choice Requires="wps">
            <w:drawing>
              <wp:anchor distT="45720" distB="45720" distL="114300" distR="114300" simplePos="0" relativeHeight="251659264" behindDoc="1" locked="0" layoutInCell="1" allowOverlap="1" wp14:anchorId="4295ACB5" wp14:editId="621E7618">
                <wp:simplePos x="0" y="0"/>
                <wp:positionH relativeFrom="column">
                  <wp:posOffset>-942975</wp:posOffset>
                </wp:positionH>
                <wp:positionV relativeFrom="paragraph">
                  <wp:posOffset>6732270</wp:posOffset>
                </wp:positionV>
                <wp:extent cx="42100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404620"/>
                        </a:xfrm>
                        <a:prstGeom prst="rect">
                          <a:avLst/>
                        </a:prstGeom>
                        <a:solidFill>
                          <a:srgbClr val="FFFFFF"/>
                        </a:solidFill>
                        <a:ln w="9525">
                          <a:noFill/>
                          <a:miter lim="800000"/>
                          <a:headEnd/>
                          <a:tailEnd/>
                        </a:ln>
                      </wps:spPr>
                      <wps:txbx>
                        <w:txbxContent>
                          <w:p w14:paraId="282E4D74" w14:textId="3A27B283" w:rsidR="00673643" w:rsidRPr="00290592" w:rsidRDefault="00673643" w:rsidP="00814809">
                            <w:pPr>
                              <w:spacing w:after="120" w:line="240" w:lineRule="auto"/>
                              <w:rPr>
                                <w:rFonts w:ascii="Arial" w:hAnsi="Arial" w:cs="Arial"/>
                                <w:noProof/>
                                <w:sz w:val="20"/>
                                <w:szCs w:val="20"/>
                              </w:rPr>
                            </w:pPr>
                            <w:r>
                              <w:rPr>
                                <w:rFonts w:ascii="Arial" w:hAnsi="Arial" w:cs="Arial"/>
                                <w:noProof/>
                                <w:sz w:val="20"/>
                                <w:szCs w:val="20"/>
                              </w:rPr>
                              <w:t xml:space="preserve">The </w:t>
                            </w:r>
                            <w:r>
                              <w:rPr>
                                <w:rFonts w:ascii="Arial" w:hAnsi="Arial" w:cs="Arial"/>
                                <w:i/>
                                <w:noProof/>
                                <w:sz w:val="20"/>
                                <w:szCs w:val="20"/>
                              </w:rPr>
                              <w:t>2014 Conditions</w:t>
                            </w:r>
                            <w:r w:rsidRPr="00290592">
                              <w:rPr>
                                <w:rFonts w:ascii="Arial" w:hAnsi="Arial" w:cs="Arial"/>
                                <w:noProof/>
                                <w:sz w:val="20"/>
                                <w:szCs w:val="20"/>
                              </w:rPr>
                              <w:t xml:space="preserve"> are in effect </w:t>
                            </w:r>
                            <w:r>
                              <w:rPr>
                                <w:rFonts w:ascii="Arial" w:hAnsi="Arial" w:cs="Arial"/>
                                <w:noProof/>
                                <w:sz w:val="20"/>
                                <w:szCs w:val="20"/>
                              </w:rPr>
                              <w:t>beginning April 1, 2015.</w:t>
                            </w:r>
                            <w:r w:rsidRPr="00290592">
                              <w:rPr>
                                <w:rFonts w:ascii="Arial" w:hAnsi="Arial" w:cs="Arial"/>
                                <w:noProof/>
                                <w:sz w:val="20"/>
                                <w:szCs w:val="20"/>
                              </w:rPr>
                              <w:t xml:space="preserve"> </w:t>
                            </w:r>
                          </w:p>
                          <w:p w14:paraId="135E350F" w14:textId="4BAD90CE" w:rsidR="00673643" w:rsidRDefault="00673643" w:rsidP="00814809">
                            <w:r>
                              <w:rPr>
                                <w:rFonts w:ascii="Arial" w:hAnsi="Arial" w:cs="Arial"/>
                                <w:noProof/>
                                <w:sz w:val="20"/>
                                <w:szCs w:val="20"/>
                              </w:rPr>
                              <w:t xml:space="preserve">All programs, including candidates, </w:t>
                            </w:r>
                            <w:r w:rsidRPr="00290592">
                              <w:rPr>
                                <w:rFonts w:ascii="Arial" w:hAnsi="Arial" w:cs="Arial"/>
                                <w:noProof/>
                                <w:sz w:val="20"/>
                                <w:szCs w:val="20"/>
                              </w:rPr>
                              <w:t>scheduled for visits in 20</w:t>
                            </w:r>
                            <w:r>
                              <w:rPr>
                                <w:rFonts w:ascii="Arial" w:hAnsi="Arial" w:cs="Arial"/>
                                <w:noProof/>
                                <w:sz w:val="20"/>
                                <w:szCs w:val="20"/>
                              </w:rPr>
                              <w:t>16-2020</w:t>
                            </w:r>
                            <w:r w:rsidRPr="00290592">
                              <w:rPr>
                                <w:rFonts w:ascii="Arial" w:hAnsi="Arial" w:cs="Arial"/>
                                <w:noProof/>
                                <w:sz w:val="20"/>
                                <w:szCs w:val="20"/>
                              </w:rPr>
                              <w:t xml:space="preserve"> must use the </w:t>
                            </w:r>
                            <w:r w:rsidRPr="00290592">
                              <w:rPr>
                                <w:rFonts w:ascii="Arial" w:hAnsi="Arial" w:cs="Arial"/>
                                <w:i/>
                                <w:noProof/>
                                <w:sz w:val="20"/>
                                <w:szCs w:val="20"/>
                              </w:rPr>
                              <w:t>2014 Conditions for Accreditation</w:t>
                            </w:r>
                            <w:r>
                              <w:rPr>
                                <w:rFonts w:ascii="Arial" w:hAnsi="Arial" w:cs="Arial"/>
                                <w:noProof/>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95ACB5" id="_x0000_t202" coordsize="21600,21600" o:spt="202" path="m,l,21600r21600,l21600,xe">
                <v:stroke joinstyle="miter"/>
                <v:path gradientshapeok="t" o:connecttype="rect"/>
              </v:shapetype>
              <v:shape id="Text Box 2" o:spid="_x0000_s1026" type="#_x0000_t202" style="position:absolute;left:0;text-align:left;margin-left:-74.25pt;margin-top:530.1pt;width:331.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7DtIAIAAB4EAAAOAAAAZHJzL2Uyb0RvYy54bWysU9tuGyEQfa/Uf0C813vROpeV11Hq1FWl&#10;NK2U9ANYlvWiAkMBezf9+g6s41jpW1UeEDDD4cyZw+pm0oochPMSTEOLRU6JMBw6aXYN/fG0/XBF&#10;iQ/MdEyBEQ19Fp7erN+/W422FiUMoDrhCIIYX4+2oUMIts4yzwehmV+AFQaDPTjNAm7dLuscGxFd&#10;q6zM84tsBNdZB1x4j6d3c5CuE37fCx6+9b0XgaiGIreQZpfmNs7ZesXqnWN2kPxIg/0DC82kwUdP&#10;UHcsMLJ38i8oLbkDD31YcNAZ9L3kItWA1RT5m2oeB2ZFqgXF8fYkk/9/sPzh8N0R2TW0LC4pMUxj&#10;k57EFMhHmEgZ9RmtrzHt0WJimPAY+5xq9fYe+E9PDGwGZnbi1jkYB8E65FfEm9nZ1RnHR5B2/Aod&#10;PsP2ARLQ1DsdxUM5CKJjn55PvYlUOB5WZZHnSwxxjBVVXl2UqXsZq1+uW+fDZwGaxEVDHTY/wbPD&#10;vQ+RDqtfUuJrHpTstlKptHG7dqMcOTA0yjaNVMGbNGXI2NDrZblMyAbi/eQhLQMaWUnd0Ks8jtla&#10;UY5PpkspgUk1r5GJMkd9oiSzOGFqJ0yMorXQPaNSDmbD4gfDxQDuNyUjmrWh/teeOUGJ+mJQ7eui&#10;qqK706ZaXqI0xJ1H2vMIMxyhGhoomZebkH5E0sHeYle2Mun1yuTIFU2YZDx+mOjy833Kev3W6z8A&#10;AAD//wMAUEsDBBQABgAIAAAAIQB+TkCl4AAAAA4BAAAPAAAAZHJzL2Rvd25yZXYueG1sTI/NTsMw&#10;EITvSLyDtUjcWjtRUkUhTlVRceGAREGCoxs7cYT/ZLtpeHuWExx35tPsTLdfrSGLimn2jkOxZUCU&#10;G7yc3cTh/e1p0wBJWTgpjHeKw7dKsO9vbzrRSn91r2o55YlgiEut4KBzDi2ladDKirT1QTn0Rh+t&#10;yHjGicoorhhuDS0Z21ErZocftAjqUavh63SxHD6snuUxvnyO0izH5/FQhzUGzu/v1sMDkKzW/AfD&#10;b32sDj12OvuLk4kYDpuiampk0WE7VgJBpi4qlM4olU1RAe07+n9G/wMAAP//AwBQSwECLQAUAAYA&#10;CAAAACEAtoM4kv4AAADhAQAAEwAAAAAAAAAAAAAAAAAAAAAAW0NvbnRlbnRfVHlwZXNdLnhtbFBL&#10;AQItABQABgAIAAAAIQA4/SH/1gAAAJQBAAALAAAAAAAAAAAAAAAAAC8BAABfcmVscy8ucmVsc1BL&#10;AQItABQABgAIAAAAIQAU57DtIAIAAB4EAAAOAAAAAAAAAAAAAAAAAC4CAABkcnMvZTJvRG9jLnht&#10;bFBLAQItABQABgAIAAAAIQB+TkCl4AAAAA4BAAAPAAAAAAAAAAAAAAAAAHoEAABkcnMvZG93bnJl&#10;di54bWxQSwUGAAAAAAQABADzAAAAhwUAAAAA&#10;" stroked="f">
                <v:textbox style="mso-fit-shape-to-text:t">
                  <w:txbxContent>
                    <w:p w14:paraId="282E4D74" w14:textId="3A27B283" w:rsidR="00673643" w:rsidRPr="00290592" w:rsidRDefault="00673643" w:rsidP="00814809">
                      <w:pPr>
                        <w:spacing w:after="120" w:line="240" w:lineRule="auto"/>
                        <w:rPr>
                          <w:rFonts w:ascii="Arial" w:hAnsi="Arial" w:cs="Arial"/>
                          <w:noProof/>
                          <w:sz w:val="20"/>
                          <w:szCs w:val="20"/>
                        </w:rPr>
                      </w:pPr>
                      <w:r>
                        <w:rPr>
                          <w:rFonts w:ascii="Arial" w:hAnsi="Arial" w:cs="Arial"/>
                          <w:noProof/>
                          <w:sz w:val="20"/>
                          <w:szCs w:val="20"/>
                        </w:rPr>
                        <w:t xml:space="preserve">The </w:t>
                      </w:r>
                      <w:r>
                        <w:rPr>
                          <w:rFonts w:ascii="Arial" w:hAnsi="Arial" w:cs="Arial"/>
                          <w:i/>
                          <w:noProof/>
                          <w:sz w:val="20"/>
                          <w:szCs w:val="20"/>
                        </w:rPr>
                        <w:t>2014 Conditions</w:t>
                      </w:r>
                      <w:r w:rsidRPr="00290592">
                        <w:rPr>
                          <w:rFonts w:ascii="Arial" w:hAnsi="Arial" w:cs="Arial"/>
                          <w:noProof/>
                          <w:sz w:val="20"/>
                          <w:szCs w:val="20"/>
                        </w:rPr>
                        <w:t xml:space="preserve"> are in effect </w:t>
                      </w:r>
                      <w:r>
                        <w:rPr>
                          <w:rFonts w:ascii="Arial" w:hAnsi="Arial" w:cs="Arial"/>
                          <w:noProof/>
                          <w:sz w:val="20"/>
                          <w:szCs w:val="20"/>
                        </w:rPr>
                        <w:t>beginning April 1, 2015.</w:t>
                      </w:r>
                      <w:r w:rsidRPr="00290592">
                        <w:rPr>
                          <w:rFonts w:ascii="Arial" w:hAnsi="Arial" w:cs="Arial"/>
                          <w:noProof/>
                          <w:sz w:val="20"/>
                          <w:szCs w:val="20"/>
                        </w:rPr>
                        <w:t xml:space="preserve"> </w:t>
                      </w:r>
                    </w:p>
                    <w:p w14:paraId="135E350F" w14:textId="4BAD90CE" w:rsidR="00673643" w:rsidRDefault="00673643" w:rsidP="00814809">
                      <w:r>
                        <w:rPr>
                          <w:rFonts w:ascii="Arial" w:hAnsi="Arial" w:cs="Arial"/>
                          <w:noProof/>
                          <w:sz w:val="20"/>
                          <w:szCs w:val="20"/>
                        </w:rPr>
                        <w:t xml:space="preserve">All programs, including candidates, </w:t>
                      </w:r>
                      <w:r w:rsidRPr="00290592">
                        <w:rPr>
                          <w:rFonts w:ascii="Arial" w:hAnsi="Arial" w:cs="Arial"/>
                          <w:noProof/>
                          <w:sz w:val="20"/>
                          <w:szCs w:val="20"/>
                        </w:rPr>
                        <w:t>scheduled for visits in 20</w:t>
                      </w:r>
                      <w:r>
                        <w:rPr>
                          <w:rFonts w:ascii="Arial" w:hAnsi="Arial" w:cs="Arial"/>
                          <w:noProof/>
                          <w:sz w:val="20"/>
                          <w:szCs w:val="20"/>
                        </w:rPr>
                        <w:t>16-2020</w:t>
                      </w:r>
                      <w:r w:rsidRPr="00290592">
                        <w:rPr>
                          <w:rFonts w:ascii="Arial" w:hAnsi="Arial" w:cs="Arial"/>
                          <w:noProof/>
                          <w:sz w:val="20"/>
                          <w:szCs w:val="20"/>
                        </w:rPr>
                        <w:t xml:space="preserve"> must use the </w:t>
                      </w:r>
                      <w:r w:rsidRPr="00290592">
                        <w:rPr>
                          <w:rFonts w:ascii="Arial" w:hAnsi="Arial" w:cs="Arial"/>
                          <w:i/>
                          <w:noProof/>
                          <w:sz w:val="20"/>
                          <w:szCs w:val="20"/>
                        </w:rPr>
                        <w:t>2014 Conditions for Accreditation</w:t>
                      </w:r>
                      <w:r>
                        <w:rPr>
                          <w:rFonts w:ascii="Arial" w:hAnsi="Arial" w:cs="Arial"/>
                          <w:noProof/>
                          <w:sz w:val="20"/>
                          <w:szCs w:val="20"/>
                        </w:rPr>
                        <w:t>.</w:t>
                      </w:r>
                    </w:p>
                  </w:txbxContent>
                </v:textbox>
              </v:shape>
            </w:pict>
          </mc:Fallback>
        </mc:AlternateContent>
      </w:r>
      <w:r w:rsidR="00673614">
        <w:rPr>
          <w:rFonts w:ascii="Arial" w:eastAsia="Times New Roman" w:hAnsi="Arial" w:cs="Arial"/>
          <w:sz w:val="20"/>
          <w:szCs w:val="20"/>
        </w:rPr>
        <w:br w:type="page"/>
      </w:r>
    </w:p>
    <w:p w14:paraId="2D0453F1" w14:textId="77777777" w:rsidR="006D5EBB" w:rsidRDefault="006D5EBB" w:rsidP="007B0D43">
      <w:pPr>
        <w:pStyle w:val="TOCHeading"/>
        <w:spacing w:before="0"/>
        <w:rPr>
          <w:rFonts w:ascii="Arial" w:hAnsi="Arial" w:cs="Arial"/>
          <w:b w:val="0"/>
          <w:color w:val="auto"/>
          <w:sz w:val="20"/>
          <w:szCs w:val="20"/>
        </w:rPr>
      </w:pPr>
    </w:p>
    <w:p w14:paraId="1A151D1E" w14:textId="77777777" w:rsidR="006D5EBB" w:rsidRDefault="006D5EBB" w:rsidP="007B0D43">
      <w:pPr>
        <w:pStyle w:val="TOCHeading"/>
        <w:spacing w:before="0"/>
        <w:rPr>
          <w:rFonts w:ascii="Arial" w:hAnsi="Arial" w:cs="Arial"/>
          <w:b w:val="0"/>
          <w:color w:val="auto"/>
          <w:sz w:val="20"/>
          <w:szCs w:val="20"/>
        </w:rPr>
      </w:pPr>
    </w:p>
    <w:p w14:paraId="370AD633" w14:textId="77777777" w:rsidR="006D5EBB" w:rsidRDefault="006D5EBB" w:rsidP="007B0D43">
      <w:pPr>
        <w:pStyle w:val="TOCHeading"/>
        <w:spacing w:before="0"/>
        <w:rPr>
          <w:rFonts w:ascii="Arial" w:hAnsi="Arial" w:cs="Arial"/>
          <w:b w:val="0"/>
          <w:color w:val="auto"/>
          <w:sz w:val="20"/>
          <w:szCs w:val="20"/>
        </w:rPr>
      </w:pPr>
    </w:p>
    <w:p w14:paraId="35C83540" w14:textId="77777777" w:rsidR="006D5EBB" w:rsidRDefault="006D5EBB" w:rsidP="007B0D43">
      <w:pPr>
        <w:pStyle w:val="TOCHeading"/>
        <w:spacing w:before="0"/>
        <w:rPr>
          <w:rFonts w:ascii="Arial" w:hAnsi="Arial" w:cs="Arial"/>
          <w:b w:val="0"/>
          <w:color w:val="auto"/>
          <w:sz w:val="20"/>
          <w:szCs w:val="20"/>
        </w:rPr>
      </w:pPr>
    </w:p>
    <w:p w14:paraId="5CAFA01B" w14:textId="77777777" w:rsidR="006D5EBB" w:rsidRDefault="006D5EBB" w:rsidP="007B0D43">
      <w:pPr>
        <w:pStyle w:val="TOCHeading"/>
        <w:spacing w:before="0"/>
        <w:rPr>
          <w:rFonts w:ascii="Arial" w:hAnsi="Arial" w:cs="Arial"/>
          <w:b w:val="0"/>
          <w:color w:val="auto"/>
          <w:sz w:val="20"/>
          <w:szCs w:val="20"/>
        </w:rPr>
      </w:pPr>
    </w:p>
    <w:p w14:paraId="589E0D10" w14:textId="77777777" w:rsidR="006D5EBB" w:rsidRDefault="006D5EBB" w:rsidP="007B0D43">
      <w:pPr>
        <w:pStyle w:val="TOCHeading"/>
        <w:spacing w:before="0"/>
        <w:rPr>
          <w:rFonts w:ascii="Arial" w:hAnsi="Arial" w:cs="Arial"/>
          <w:b w:val="0"/>
          <w:color w:val="auto"/>
          <w:sz w:val="20"/>
          <w:szCs w:val="20"/>
        </w:rPr>
      </w:pPr>
    </w:p>
    <w:p w14:paraId="4268162C" w14:textId="77777777" w:rsidR="006D5EBB" w:rsidRDefault="006D5EBB" w:rsidP="007B0D43">
      <w:pPr>
        <w:pStyle w:val="TOCHeading"/>
        <w:spacing w:before="0"/>
        <w:rPr>
          <w:rFonts w:ascii="Arial" w:hAnsi="Arial" w:cs="Arial"/>
          <w:b w:val="0"/>
          <w:color w:val="auto"/>
          <w:sz w:val="20"/>
          <w:szCs w:val="20"/>
        </w:rPr>
      </w:pPr>
    </w:p>
    <w:p w14:paraId="2E277D63" w14:textId="77777777" w:rsidR="006D5EBB" w:rsidRDefault="006D5EBB" w:rsidP="007B0D43">
      <w:pPr>
        <w:pStyle w:val="TOCHeading"/>
        <w:spacing w:before="0"/>
        <w:rPr>
          <w:rFonts w:ascii="Arial" w:hAnsi="Arial" w:cs="Arial"/>
          <w:b w:val="0"/>
          <w:color w:val="auto"/>
          <w:sz w:val="20"/>
          <w:szCs w:val="20"/>
        </w:rPr>
      </w:pPr>
    </w:p>
    <w:p w14:paraId="3C020BEB" w14:textId="77777777" w:rsidR="006D5EBB" w:rsidRDefault="006D5EBB" w:rsidP="007B0D43">
      <w:pPr>
        <w:pStyle w:val="TOCHeading"/>
        <w:spacing w:before="0"/>
        <w:rPr>
          <w:rFonts w:ascii="Arial" w:hAnsi="Arial" w:cs="Arial"/>
          <w:b w:val="0"/>
          <w:color w:val="auto"/>
          <w:sz w:val="20"/>
          <w:szCs w:val="20"/>
        </w:rPr>
      </w:pPr>
    </w:p>
    <w:p w14:paraId="358FFEC1" w14:textId="77777777" w:rsidR="006D5EBB" w:rsidRDefault="006D5EBB" w:rsidP="007B0D43">
      <w:pPr>
        <w:pStyle w:val="TOCHeading"/>
        <w:spacing w:before="0"/>
        <w:rPr>
          <w:rFonts w:ascii="Arial" w:hAnsi="Arial" w:cs="Arial"/>
          <w:b w:val="0"/>
          <w:color w:val="auto"/>
          <w:sz w:val="20"/>
          <w:szCs w:val="20"/>
        </w:rPr>
      </w:pPr>
    </w:p>
    <w:p w14:paraId="702CF76B" w14:textId="77777777" w:rsidR="006D5EBB" w:rsidRDefault="006D5EBB" w:rsidP="007B0D43">
      <w:pPr>
        <w:pStyle w:val="TOCHeading"/>
        <w:spacing w:before="0"/>
        <w:rPr>
          <w:rFonts w:ascii="Arial" w:hAnsi="Arial" w:cs="Arial"/>
          <w:b w:val="0"/>
          <w:color w:val="auto"/>
          <w:sz w:val="20"/>
          <w:szCs w:val="20"/>
        </w:rPr>
      </w:pPr>
    </w:p>
    <w:p w14:paraId="081CC4C0" w14:textId="77777777" w:rsidR="006D5EBB" w:rsidRDefault="006D5EBB" w:rsidP="007B0D43">
      <w:pPr>
        <w:pStyle w:val="TOCHeading"/>
        <w:spacing w:before="0"/>
        <w:rPr>
          <w:rFonts w:ascii="Arial" w:hAnsi="Arial" w:cs="Arial"/>
          <w:b w:val="0"/>
          <w:color w:val="auto"/>
          <w:sz w:val="20"/>
          <w:szCs w:val="20"/>
        </w:rPr>
      </w:pPr>
    </w:p>
    <w:p w14:paraId="52B4BD69" w14:textId="77777777" w:rsidR="006D5EBB" w:rsidRDefault="006D5EBB" w:rsidP="007B0D43">
      <w:pPr>
        <w:pStyle w:val="TOCHeading"/>
        <w:spacing w:before="0"/>
        <w:rPr>
          <w:rFonts w:ascii="Arial" w:hAnsi="Arial" w:cs="Arial"/>
          <w:b w:val="0"/>
          <w:color w:val="auto"/>
          <w:sz w:val="20"/>
          <w:szCs w:val="20"/>
        </w:rPr>
      </w:pPr>
    </w:p>
    <w:p w14:paraId="7AD33FCE" w14:textId="77777777" w:rsidR="006D5EBB" w:rsidRDefault="006D5EBB" w:rsidP="007B0D43">
      <w:pPr>
        <w:pStyle w:val="TOCHeading"/>
        <w:spacing w:before="0"/>
        <w:rPr>
          <w:rFonts w:ascii="Arial" w:hAnsi="Arial" w:cs="Arial"/>
          <w:b w:val="0"/>
          <w:color w:val="auto"/>
          <w:sz w:val="20"/>
          <w:szCs w:val="20"/>
        </w:rPr>
      </w:pPr>
    </w:p>
    <w:p w14:paraId="1543B9CD" w14:textId="77777777" w:rsidR="006D5EBB" w:rsidRDefault="006D5EBB" w:rsidP="007B0D43">
      <w:pPr>
        <w:pStyle w:val="TOCHeading"/>
        <w:spacing w:before="0"/>
        <w:rPr>
          <w:rFonts w:ascii="Arial" w:hAnsi="Arial" w:cs="Arial"/>
          <w:b w:val="0"/>
          <w:color w:val="auto"/>
          <w:sz w:val="20"/>
          <w:szCs w:val="20"/>
        </w:rPr>
      </w:pPr>
    </w:p>
    <w:p w14:paraId="623B999B" w14:textId="77777777" w:rsidR="006D5EBB" w:rsidRDefault="006D5EBB" w:rsidP="007B0D43">
      <w:pPr>
        <w:pStyle w:val="TOCHeading"/>
        <w:spacing w:before="0"/>
        <w:rPr>
          <w:rFonts w:ascii="Arial" w:hAnsi="Arial" w:cs="Arial"/>
          <w:b w:val="0"/>
          <w:color w:val="auto"/>
          <w:sz w:val="20"/>
          <w:szCs w:val="20"/>
        </w:rPr>
      </w:pPr>
    </w:p>
    <w:p w14:paraId="2380A8A0" w14:textId="77777777" w:rsidR="006D5EBB" w:rsidRDefault="006D5EBB" w:rsidP="007B0D43">
      <w:pPr>
        <w:pStyle w:val="TOCHeading"/>
        <w:spacing w:before="0"/>
        <w:rPr>
          <w:rFonts w:ascii="Arial" w:hAnsi="Arial" w:cs="Arial"/>
          <w:b w:val="0"/>
          <w:color w:val="auto"/>
          <w:sz w:val="20"/>
          <w:szCs w:val="20"/>
        </w:rPr>
      </w:pPr>
    </w:p>
    <w:p w14:paraId="19D1C962" w14:textId="77777777" w:rsidR="006D5EBB" w:rsidRDefault="006D5EBB" w:rsidP="007B0D43">
      <w:pPr>
        <w:pStyle w:val="TOCHeading"/>
        <w:spacing w:before="0"/>
        <w:rPr>
          <w:rFonts w:ascii="Arial" w:hAnsi="Arial" w:cs="Arial"/>
          <w:b w:val="0"/>
          <w:color w:val="auto"/>
          <w:sz w:val="20"/>
          <w:szCs w:val="20"/>
        </w:rPr>
      </w:pPr>
    </w:p>
    <w:p w14:paraId="2027847A" w14:textId="77777777" w:rsidR="006D5EBB" w:rsidRDefault="006D5EBB" w:rsidP="007B0D43">
      <w:pPr>
        <w:pStyle w:val="TOCHeading"/>
        <w:spacing w:before="0"/>
        <w:rPr>
          <w:rFonts w:ascii="Arial" w:hAnsi="Arial" w:cs="Arial"/>
          <w:b w:val="0"/>
          <w:color w:val="auto"/>
          <w:sz w:val="20"/>
          <w:szCs w:val="20"/>
        </w:rPr>
      </w:pPr>
    </w:p>
    <w:p w14:paraId="271207ED" w14:textId="77777777" w:rsidR="006D5EBB" w:rsidRDefault="006D5EBB" w:rsidP="007B0D43">
      <w:pPr>
        <w:pStyle w:val="TOCHeading"/>
        <w:spacing w:before="0"/>
        <w:rPr>
          <w:rFonts w:ascii="Arial" w:hAnsi="Arial" w:cs="Arial"/>
          <w:b w:val="0"/>
          <w:color w:val="auto"/>
          <w:sz w:val="20"/>
          <w:szCs w:val="20"/>
        </w:rPr>
      </w:pPr>
    </w:p>
    <w:p w14:paraId="79C6CD23" w14:textId="77777777" w:rsidR="006D5EBB" w:rsidRDefault="006D5EBB" w:rsidP="007B0D43">
      <w:pPr>
        <w:pStyle w:val="TOCHeading"/>
        <w:spacing w:before="0"/>
        <w:rPr>
          <w:rFonts w:ascii="Arial" w:hAnsi="Arial" w:cs="Arial"/>
          <w:b w:val="0"/>
          <w:color w:val="auto"/>
          <w:sz w:val="20"/>
          <w:szCs w:val="20"/>
        </w:rPr>
      </w:pPr>
    </w:p>
    <w:p w14:paraId="5AB8A0D7" w14:textId="77777777" w:rsidR="006D5EBB" w:rsidRDefault="006D5EBB" w:rsidP="007B0D43">
      <w:pPr>
        <w:pStyle w:val="TOCHeading"/>
        <w:spacing w:before="0"/>
        <w:rPr>
          <w:rFonts w:ascii="Arial" w:hAnsi="Arial" w:cs="Arial"/>
          <w:b w:val="0"/>
          <w:color w:val="auto"/>
          <w:sz w:val="20"/>
          <w:szCs w:val="20"/>
        </w:rPr>
      </w:pPr>
    </w:p>
    <w:p w14:paraId="77FF2BF2" w14:textId="77777777" w:rsidR="006D5EBB" w:rsidRDefault="006D5EBB" w:rsidP="007B0D43">
      <w:pPr>
        <w:pStyle w:val="TOCHeading"/>
        <w:spacing w:before="0"/>
        <w:rPr>
          <w:rFonts w:ascii="Arial" w:hAnsi="Arial" w:cs="Arial"/>
          <w:b w:val="0"/>
          <w:color w:val="auto"/>
          <w:sz w:val="20"/>
          <w:szCs w:val="20"/>
        </w:rPr>
      </w:pPr>
    </w:p>
    <w:p w14:paraId="1345ECEF" w14:textId="77777777" w:rsidR="006D5EBB" w:rsidRDefault="006D5EBB" w:rsidP="007B0D43">
      <w:pPr>
        <w:pStyle w:val="TOCHeading"/>
        <w:spacing w:before="0"/>
        <w:rPr>
          <w:rFonts w:ascii="Arial" w:hAnsi="Arial" w:cs="Arial"/>
          <w:b w:val="0"/>
          <w:color w:val="auto"/>
          <w:sz w:val="20"/>
          <w:szCs w:val="20"/>
        </w:rPr>
      </w:pPr>
    </w:p>
    <w:p w14:paraId="7C9F56C6" w14:textId="77777777" w:rsidR="006D5EBB" w:rsidRDefault="006D5EBB" w:rsidP="007B0D43">
      <w:pPr>
        <w:pStyle w:val="TOCHeading"/>
        <w:spacing w:before="0"/>
        <w:rPr>
          <w:rFonts w:ascii="Arial" w:hAnsi="Arial" w:cs="Arial"/>
          <w:b w:val="0"/>
          <w:color w:val="auto"/>
          <w:sz w:val="20"/>
          <w:szCs w:val="20"/>
        </w:rPr>
      </w:pPr>
    </w:p>
    <w:p w14:paraId="07D0F4DA" w14:textId="77777777" w:rsidR="006D5EBB" w:rsidRDefault="006D5EBB" w:rsidP="007B0D43">
      <w:pPr>
        <w:pStyle w:val="TOCHeading"/>
        <w:spacing w:before="0"/>
        <w:rPr>
          <w:rFonts w:ascii="Arial" w:hAnsi="Arial" w:cs="Arial"/>
          <w:b w:val="0"/>
          <w:color w:val="auto"/>
          <w:sz w:val="20"/>
          <w:szCs w:val="20"/>
        </w:rPr>
      </w:pPr>
    </w:p>
    <w:p w14:paraId="764DF9AD" w14:textId="77777777" w:rsidR="006D5EBB" w:rsidRDefault="006D5EBB" w:rsidP="007B0D43">
      <w:pPr>
        <w:pStyle w:val="TOCHeading"/>
        <w:spacing w:before="0"/>
        <w:rPr>
          <w:rFonts w:ascii="Arial" w:hAnsi="Arial" w:cs="Arial"/>
          <w:b w:val="0"/>
          <w:color w:val="auto"/>
          <w:sz w:val="20"/>
          <w:szCs w:val="20"/>
        </w:rPr>
      </w:pPr>
    </w:p>
    <w:p w14:paraId="287061AD" w14:textId="77777777" w:rsidR="006D5EBB" w:rsidRDefault="006D5EBB" w:rsidP="007B0D43">
      <w:pPr>
        <w:pStyle w:val="TOCHeading"/>
        <w:spacing w:before="0"/>
        <w:rPr>
          <w:rFonts w:ascii="Arial" w:hAnsi="Arial" w:cs="Arial"/>
          <w:b w:val="0"/>
          <w:color w:val="auto"/>
          <w:sz w:val="20"/>
          <w:szCs w:val="20"/>
        </w:rPr>
      </w:pPr>
    </w:p>
    <w:p w14:paraId="7A5FFF30" w14:textId="77777777" w:rsidR="006D5EBB" w:rsidRDefault="006D5EBB" w:rsidP="007B0D43">
      <w:pPr>
        <w:pStyle w:val="TOCHeading"/>
        <w:spacing w:before="0"/>
        <w:rPr>
          <w:rFonts w:ascii="Arial" w:hAnsi="Arial" w:cs="Arial"/>
          <w:b w:val="0"/>
          <w:color w:val="auto"/>
          <w:sz w:val="20"/>
          <w:szCs w:val="20"/>
        </w:rPr>
      </w:pPr>
    </w:p>
    <w:p w14:paraId="4FCDD05E" w14:textId="77777777" w:rsidR="006D5EBB" w:rsidRDefault="006D5EBB" w:rsidP="007B0D43">
      <w:pPr>
        <w:pStyle w:val="TOCHeading"/>
        <w:spacing w:before="0"/>
        <w:rPr>
          <w:rFonts w:ascii="Arial" w:hAnsi="Arial" w:cs="Arial"/>
          <w:b w:val="0"/>
          <w:color w:val="auto"/>
          <w:sz w:val="20"/>
          <w:szCs w:val="20"/>
        </w:rPr>
      </w:pPr>
    </w:p>
    <w:p w14:paraId="25BF90C6" w14:textId="77777777" w:rsidR="006D5EBB" w:rsidRDefault="006D5EBB" w:rsidP="007B0D43">
      <w:pPr>
        <w:pStyle w:val="TOCHeading"/>
        <w:spacing w:before="0"/>
        <w:rPr>
          <w:rFonts w:ascii="Arial" w:hAnsi="Arial" w:cs="Arial"/>
          <w:b w:val="0"/>
          <w:color w:val="auto"/>
          <w:sz w:val="20"/>
          <w:szCs w:val="20"/>
        </w:rPr>
      </w:pPr>
    </w:p>
    <w:p w14:paraId="4121C19D" w14:textId="77777777" w:rsidR="006D5EBB" w:rsidRDefault="006D5EBB" w:rsidP="007B0D43">
      <w:pPr>
        <w:pStyle w:val="TOCHeading"/>
        <w:spacing w:before="0"/>
        <w:rPr>
          <w:rFonts w:ascii="Arial" w:hAnsi="Arial" w:cs="Arial"/>
          <w:b w:val="0"/>
          <w:color w:val="auto"/>
          <w:sz w:val="20"/>
          <w:szCs w:val="20"/>
        </w:rPr>
      </w:pPr>
    </w:p>
    <w:p w14:paraId="470D7B07" w14:textId="77777777" w:rsidR="006D5EBB" w:rsidRDefault="006D5EBB" w:rsidP="007B0D43">
      <w:pPr>
        <w:pStyle w:val="TOCHeading"/>
        <w:spacing w:before="0"/>
        <w:rPr>
          <w:rFonts w:ascii="Arial" w:hAnsi="Arial" w:cs="Arial"/>
          <w:b w:val="0"/>
          <w:color w:val="auto"/>
          <w:sz w:val="20"/>
          <w:szCs w:val="20"/>
        </w:rPr>
      </w:pPr>
    </w:p>
    <w:p w14:paraId="6B3590F5" w14:textId="77777777" w:rsidR="006D5EBB" w:rsidRDefault="006D5EBB" w:rsidP="007B0D43">
      <w:pPr>
        <w:pStyle w:val="TOCHeading"/>
        <w:spacing w:before="0"/>
        <w:rPr>
          <w:rFonts w:ascii="Arial" w:hAnsi="Arial" w:cs="Arial"/>
          <w:b w:val="0"/>
          <w:color w:val="auto"/>
          <w:sz w:val="20"/>
          <w:szCs w:val="20"/>
        </w:rPr>
      </w:pPr>
    </w:p>
    <w:p w14:paraId="010709E8" w14:textId="77777777" w:rsidR="006D5EBB" w:rsidRDefault="006D5EBB" w:rsidP="007B0D43">
      <w:pPr>
        <w:pStyle w:val="TOCHeading"/>
        <w:spacing w:before="0"/>
        <w:rPr>
          <w:rFonts w:ascii="Arial" w:hAnsi="Arial" w:cs="Arial"/>
          <w:b w:val="0"/>
          <w:color w:val="auto"/>
          <w:sz w:val="20"/>
          <w:szCs w:val="20"/>
        </w:rPr>
      </w:pPr>
    </w:p>
    <w:p w14:paraId="0613C959" w14:textId="77777777" w:rsidR="006D5EBB" w:rsidRDefault="006D5EBB" w:rsidP="007B0D43">
      <w:pPr>
        <w:pStyle w:val="TOCHeading"/>
        <w:spacing w:before="0"/>
        <w:rPr>
          <w:rFonts w:ascii="Arial" w:hAnsi="Arial" w:cs="Arial"/>
          <w:b w:val="0"/>
          <w:color w:val="auto"/>
          <w:sz w:val="20"/>
          <w:szCs w:val="20"/>
        </w:rPr>
      </w:pPr>
    </w:p>
    <w:p w14:paraId="40201A6C" w14:textId="77777777" w:rsidR="006D5EBB" w:rsidRDefault="006D5EBB" w:rsidP="007B0D43">
      <w:pPr>
        <w:pStyle w:val="TOCHeading"/>
        <w:spacing w:before="0"/>
        <w:rPr>
          <w:rFonts w:ascii="Arial" w:hAnsi="Arial" w:cs="Arial"/>
          <w:b w:val="0"/>
          <w:color w:val="auto"/>
          <w:sz w:val="20"/>
          <w:szCs w:val="20"/>
        </w:rPr>
      </w:pPr>
    </w:p>
    <w:p w14:paraId="2AA28453" w14:textId="77777777" w:rsidR="006D5EBB" w:rsidRPr="00C77F4E" w:rsidRDefault="006D5EBB" w:rsidP="006D5EBB">
      <w:pPr>
        <w:pStyle w:val="TOCHeading"/>
        <w:spacing w:before="0" w:line="240" w:lineRule="auto"/>
        <w:rPr>
          <w:rFonts w:ascii="Helvetica" w:hAnsi="Helvetica" w:cs="Arial"/>
          <w:b w:val="0"/>
          <w:color w:val="auto"/>
          <w:sz w:val="20"/>
          <w:szCs w:val="20"/>
        </w:rPr>
      </w:pPr>
      <w:r w:rsidRPr="00C77F4E">
        <w:rPr>
          <w:rFonts w:ascii="Helvetica" w:hAnsi="Helvetica" w:cs="Arial"/>
          <w:b w:val="0"/>
          <w:color w:val="auto"/>
          <w:sz w:val="20"/>
          <w:szCs w:val="20"/>
        </w:rPr>
        <w:t>© 201</w:t>
      </w:r>
      <w:r w:rsidR="00721ABE" w:rsidRPr="00C77F4E">
        <w:rPr>
          <w:rFonts w:ascii="Helvetica" w:hAnsi="Helvetica" w:cs="Arial"/>
          <w:b w:val="0"/>
          <w:color w:val="auto"/>
          <w:sz w:val="20"/>
          <w:szCs w:val="20"/>
        </w:rPr>
        <w:t>4</w:t>
      </w:r>
      <w:r w:rsidRPr="00C77F4E">
        <w:rPr>
          <w:rFonts w:ascii="Helvetica" w:hAnsi="Helvetica" w:cs="Arial"/>
          <w:b w:val="0"/>
          <w:color w:val="auto"/>
          <w:sz w:val="20"/>
          <w:szCs w:val="20"/>
        </w:rPr>
        <w:t xml:space="preserve"> National Architectural Accrediting Board, Inc.</w:t>
      </w:r>
    </w:p>
    <w:p w14:paraId="37BB2BA3" w14:textId="77777777" w:rsidR="006D5EBB" w:rsidRPr="00C77F4E" w:rsidRDefault="006D5EBB" w:rsidP="006D5EBB">
      <w:pPr>
        <w:pStyle w:val="TOCHeading"/>
        <w:spacing w:before="0" w:line="240" w:lineRule="auto"/>
        <w:rPr>
          <w:rFonts w:ascii="Helvetica" w:hAnsi="Helvetica" w:cs="Arial"/>
          <w:b w:val="0"/>
          <w:color w:val="auto"/>
          <w:sz w:val="20"/>
          <w:szCs w:val="20"/>
        </w:rPr>
      </w:pPr>
      <w:r w:rsidRPr="00C77F4E">
        <w:rPr>
          <w:rFonts w:ascii="Helvetica" w:hAnsi="Helvetica" w:cs="Arial"/>
          <w:b w:val="0"/>
          <w:color w:val="auto"/>
          <w:sz w:val="20"/>
          <w:szCs w:val="20"/>
        </w:rPr>
        <w:t>1101 Connecticut Avenue, NW</w:t>
      </w:r>
    </w:p>
    <w:p w14:paraId="2285CAA2" w14:textId="77777777" w:rsidR="006D5EBB" w:rsidRPr="00C77F4E" w:rsidRDefault="006D5EBB" w:rsidP="006D5EBB">
      <w:pPr>
        <w:pStyle w:val="TOCHeading"/>
        <w:spacing w:before="0" w:line="240" w:lineRule="auto"/>
        <w:rPr>
          <w:rFonts w:ascii="Helvetica" w:hAnsi="Helvetica" w:cs="Arial"/>
          <w:b w:val="0"/>
          <w:color w:val="auto"/>
          <w:sz w:val="20"/>
          <w:szCs w:val="20"/>
        </w:rPr>
      </w:pPr>
      <w:r w:rsidRPr="00C77F4E">
        <w:rPr>
          <w:rFonts w:ascii="Helvetica" w:hAnsi="Helvetica" w:cs="Arial"/>
          <w:b w:val="0"/>
          <w:color w:val="auto"/>
          <w:sz w:val="20"/>
          <w:szCs w:val="20"/>
        </w:rPr>
        <w:t>Suite 410</w:t>
      </w:r>
    </w:p>
    <w:p w14:paraId="01BB6818" w14:textId="77777777" w:rsidR="006D5EBB" w:rsidRPr="00C77F4E" w:rsidRDefault="006D5EBB" w:rsidP="006D5EBB">
      <w:pPr>
        <w:pStyle w:val="TOCHeading"/>
        <w:spacing w:before="0" w:line="240" w:lineRule="auto"/>
        <w:rPr>
          <w:rFonts w:ascii="Helvetica" w:hAnsi="Helvetica" w:cs="Arial"/>
          <w:b w:val="0"/>
          <w:color w:val="auto"/>
          <w:sz w:val="20"/>
          <w:szCs w:val="20"/>
        </w:rPr>
      </w:pPr>
      <w:r w:rsidRPr="00C77F4E">
        <w:rPr>
          <w:rFonts w:ascii="Helvetica" w:hAnsi="Helvetica" w:cs="Arial"/>
          <w:b w:val="0"/>
          <w:color w:val="auto"/>
          <w:sz w:val="20"/>
          <w:szCs w:val="20"/>
        </w:rPr>
        <w:t>Washington, DC 20036</w:t>
      </w:r>
    </w:p>
    <w:p w14:paraId="0D951FE3" w14:textId="77777777" w:rsidR="006D5EBB" w:rsidRPr="00C77F4E" w:rsidRDefault="009F36C5" w:rsidP="006D5EBB">
      <w:pPr>
        <w:pStyle w:val="TOCHeading"/>
        <w:spacing w:before="0" w:line="240" w:lineRule="auto"/>
        <w:rPr>
          <w:rFonts w:ascii="Helvetica" w:hAnsi="Helvetica" w:cs="Arial"/>
          <w:b w:val="0"/>
          <w:color w:val="auto"/>
          <w:sz w:val="20"/>
          <w:szCs w:val="20"/>
        </w:rPr>
      </w:pPr>
      <w:hyperlink r:id="rId9" w:history="1">
        <w:r w:rsidR="006D5EBB" w:rsidRPr="00C77F4E">
          <w:rPr>
            <w:rStyle w:val="Hyperlink"/>
            <w:rFonts w:ascii="Helvetica" w:hAnsi="Helvetica" w:cs="Arial"/>
            <w:b w:val="0"/>
            <w:sz w:val="20"/>
            <w:szCs w:val="20"/>
          </w:rPr>
          <w:t>www.naab.org</w:t>
        </w:r>
      </w:hyperlink>
    </w:p>
    <w:p w14:paraId="4E00F014" w14:textId="6FE95653" w:rsidR="009752D6" w:rsidRPr="00C77F4E" w:rsidRDefault="006D5EBB" w:rsidP="00EE34F2">
      <w:pPr>
        <w:pStyle w:val="TOCHeading"/>
        <w:spacing w:before="0" w:line="240" w:lineRule="auto"/>
        <w:rPr>
          <w:rFonts w:ascii="Helvetica" w:hAnsi="Helvetica" w:cs="Arial"/>
          <w:sz w:val="20"/>
          <w:szCs w:val="20"/>
        </w:rPr>
      </w:pPr>
      <w:r w:rsidRPr="00C77F4E">
        <w:rPr>
          <w:rFonts w:ascii="Helvetica" w:hAnsi="Helvetica" w:cs="Arial"/>
          <w:b w:val="0"/>
          <w:color w:val="auto"/>
          <w:sz w:val="20"/>
          <w:szCs w:val="20"/>
        </w:rPr>
        <w:t>All rights reserved.</w:t>
      </w:r>
      <w:r w:rsidRPr="00C77F4E">
        <w:rPr>
          <w:rFonts w:ascii="Helvetica" w:hAnsi="Helvetica" w:cs="Arial"/>
          <w:color w:val="auto"/>
          <w:sz w:val="20"/>
          <w:szCs w:val="20"/>
        </w:rPr>
        <w:br w:type="page"/>
      </w:r>
      <w:r w:rsidR="00673614" w:rsidRPr="00C77F4E">
        <w:rPr>
          <w:rFonts w:ascii="Helvetica" w:hAnsi="Helvetica" w:cs="Arial"/>
          <w:color w:val="auto"/>
          <w:sz w:val="20"/>
          <w:szCs w:val="20"/>
        </w:rPr>
        <w:lastRenderedPageBreak/>
        <w:t>Contents</w:t>
      </w:r>
    </w:p>
    <w:p w14:paraId="354FF718" w14:textId="77777777" w:rsidR="00C77F4E" w:rsidRPr="00DE6F85" w:rsidRDefault="009752D6">
      <w:pPr>
        <w:pStyle w:val="TOC1"/>
        <w:rPr>
          <w:rFonts w:ascii="Helvetica" w:eastAsiaTheme="minorEastAsia" w:hAnsi="Helvetica" w:cstheme="minorBidi"/>
          <w:noProof/>
          <w:sz w:val="20"/>
          <w:szCs w:val="20"/>
        </w:rPr>
      </w:pPr>
      <w:r w:rsidRPr="00C77F4E">
        <w:rPr>
          <w:rFonts w:ascii="Helvetica" w:hAnsi="Helvetica" w:cs="Arial"/>
          <w:sz w:val="20"/>
          <w:szCs w:val="20"/>
        </w:rPr>
        <w:fldChar w:fldCharType="begin"/>
      </w:r>
      <w:r w:rsidRPr="00C77F4E">
        <w:rPr>
          <w:rFonts w:ascii="Helvetica" w:hAnsi="Helvetica" w:cs="Arial"/>
          <w:sz w:val="20"/>
          <w:szCs w:val="20"/>
        </w:rPr>
        <w:instrText xml:space="preserve"> TOC \o "1-3" \h \z \u </w:instrText>
      </w:r>
      <w:r w:rsidRPr="00C77F4E">
        <w:rPr>
          <w:rFonts w:ascii="Helvetica" w:hAnsi="Helvetica" w:cs="Arial"/>
          <w:sz w:val="20"/>
          <w:szCs w:val="20"/>
        </w:rPr>
        <w:fldChar w:fldCharType="separate"/>
      </w:r>
      <w:hyperlink w:anchor="_Toc462758512" w:history="1">
        <w:r w:rsidR="00C77F4E" w:rsidRPr="00DE6F85">
          <w:rPr>
            <w:rStyle w:val="Hyperlink"/>
            <w:rFonts w:ascii="Helvetica" w:hAnsi="Helvetica" w:cs="Arial"/>
            <w:noProof/>
            <w:sz w:val="20"/>
            <w:szCs w:val="20"/>
          </w:rPr>
          <w:t>Introduction</w:t>
        </w:r>
        <w:r w:rsidR="00C77F4E" w:rsidRPr="00DE6F85">
          <w:rPr>
            <w:rFonts w:ascii="Helvetica" w:hAnsi="Helvetica"/>
            <w:noProof/>
            <w:webHidden/>
            <w:sz w:val="20"/>
            <w:szCs w:val="20"/>
          </w:rPr>
          <w:tab/>
        </w:r>
        <w:r w:rsidR="00C77F4E" w:rsidRPr="00DE6F85">
          <w:rPr>
            <w:rFonts w:ascii="Helvetica" w:hAnsi="Helvetica"/>
            <w:noProof/>
            <w:webHidden/>
            <w:sz w:val="20"/>
            <w:szCs w:val="20"/>
          </w:rPr>
          <w:fldChar w:fldCharType="begin"/>
        </w:r>
        <w:r w:rsidR="00C77F4E" w:rsidRPr="00DE6F85">
          <w:rPr>
            <w:rFonts w:ascii="Helvetica" w:hAnsi="Helvetica"/>
            <w:noProof/>
            <w:webHidden/>
            <w:sz w:val="20"/>
            <w:szCs w:val="20"/>
          </w:rPr>
          <w:instrText xml:space="preserve"> PAGEREF _Toc462758512 \h </w:instrText>
        </w:r>
        <w:r w:rsidR="00C77F4E" w:rsidRPr="00DE6F85">
          <w:rPr>
            <w:rFonts w:ascii="Helvetica" w:hAnsi="Helvetica"/>
            <w:noProof/>
            <w:webHidden/>
            <w:sz w:val="20"/>
            <w:szCs w:val="20"/>
          </w:rPr>
        </w:r>
        <w:r w:rsidR="00C77F4E" w:rsidRPr="00DE6F85">
          <w:rPr>
            <w:rFonts w:ascii="Helvetica" w:hAnsi="Helvetica"/>
            <w:noProof/>
            <w:webHidden/>
            <w:sz w:val="20"/>
            <w:szCs w:val="20"/>
          </w:rPr>
          <w:fldChar w:fldCharType="separate"/>
        </w:r>
        <w:r w:rsidR="00DE6F85">
          <w:rPr>
            <w:rFonts w:ascii="Helvetica" w:hAnsi="Helvetica"/>
            <w:noProof/>
            <w:webHidden/>
            <w:sz w:val="20"/>
            <w:szCs w:val="20"/>
          </w:rPr>
          <w:t>4</w:t>
        </w:r>
        <w:r w:rsidR="00C77F4E" w:rsidRPr="00DE6F85">
          <w:rPr>
            <w:rFonts w:ascii="Helvetica" w:hAnsi="Helvetica"/>
            <w:noProof/>
            <w:webHidden/>
            <w:sz w:val="20"/>
            <w:szCs w:val="20"/>
          </w:rPr>
          <w:fldChar w:fldCharType="end"/>
        </w:r>
      </w:hyperlink>
    </w:p>
    <w:p w14:paraId="57C71EB9" w14:textId="77777777" w:rsidR="00C77F4E" w:rsidRPr="00DE6F85" w:rsidRDefault="009F36C5">
      <w:pPr>
        <w:pStyle w:val="TOC1"/>
        <w:rPr>
          <w:rFonts w:ascii="Helvetica" w:eastAsiaTheme="minorEastAsia" w:hAnsi="Helvetica" w:cstheme="minorBidi"/>
          <w:noProof/>
          <w:sz w:val="20"/>
          <w:szCs w:val="20"/>
        </w:rPr>
      </w:pPr>
      <w:hyperlink w:anchor="_Toc462758513" w:history="1">
        <w:r w:rsidR="00C77F4E" w:rsidRPr="00DE6F85">
          <w:rPr>
            <w:rStyle w:val="Hyperlink"/>
            <w:rFonts w:ascii="Helvetica" w:hAnsi="Helvetica" w:cs="Arial"/>
            <w:noProof/>
            <w:sz w:val="20"/>
            <w:szCs w:val="20"/>
          </w:rPr>
          <w:t>NAAB Accreditation Documents</w:t>
        </w:r>
        <w:r w:rsidR="00C77F4E" w:rsidRPr="00DE6F85">
          <w:rPr>
            <w:rFonts w:ascii="Helvetica" w:hAnsi="Helvetica"/>
            <w:noProof/>
            <w:webHidden/>
            <w:sz w:val="20"/>
            <w:szCs w:val="20"/>
          </w:rPr>
          <w:tab/>
        </w:r>
        <w:r w:rsidR="00C77F4E" w:rsidRPr="00DE6F85">
          <w:rPr>
            <w:rFonts w:ascii="Helvetica" w:hAnsi="Helvetica"/>
            <w:noProof/>
            <w:webHidden/>
            <w:sz w:val="20"/>
            <w:szCs w:val="20"/>
          </w:rPr>
          <w:fldChar w:fldCharType="begin"/>
        </w:r>
        <w:r w:rsidR="00C77F4E" w:rsidRPr="00DE6F85">
          <w:rPr>
            <w:rFonts w:ascii="Helvetica" w:hAnsi="Helvetica"/>
            <w:noProof/>
            <w:webHidden/>
            <w:sz w:val="20"/>
            <w:szCs w:val="20"/>
          </w:rPr>
          <w:instrText xml:space="preserve"> PAGEREF _Toc462758513 \h </w:instrText>
        </w:r>
        <w:r w:rsidR="00C77F4E" w:rsidRPr="00DE6F85">
          <w:rPr>
            <w:rFonts w:ascii="Helvetica" w:hAnsi="Helvetica"/>
            <w:noProof/>
            <w:webHidden/>
            <w:sz w:val="20"/>
            <w:szCs w:val="20"/>
          </w:rPr>
        </w:r>
        <w:r w:rsidR="00C77F4E" w:rsidRPr="00DE6F85">
          <w:rPr>
            <w:rFonts w:ascii="Helvetica" w:hAnsi="Helvetica"/>
            <w:noProof/>
            <w:webHidden/>
            <w:sz w:val="20"/>
            <w:szCs w:val="20"/>
          </w:rPr>
          <w:fldChar w:fldCharType="separate"/>
        </w:r>
        <w:r w:rsidR="00DE6F85">
          <w:rPr>
            <w:rFonts w:ascii="Helvetica" w:hAnsi="Helvetica"/>
            <w:noProof/>
            <w:webHidden/>
            <w:sz w:val="20"/>
            <w:szCs w:val="20"/>
          </w:rPr>
          <w:t>4</w:t>
        </w:r>
        <w:r w:rsidR="00C77F4E" w:rsidRPr="00DE6F85">
          <w:rPr>
            <w:rFonts w:ascii="Helvetica" w:hAnsi="Helvetica"/>
            <w:noProof/>
            <w:webHidden/>
            <w:sz w:val="20"/>
            <w:szCs w:val="20"/>
          </w:rPr>
          <w:fldChar w:fldCharType="end"/>
        </w:r>
      </w:hyperlink>
    </w:p>
    <w:p w14:paraId="0CF2723B" w14:textId="77777777" w:rsidR="00C77F4E" w:rsidRPr="00DE6F85" w:rsidRDefault="009F36C5">
      <w:pPr>
        <w:pStyle w:val="TOC1"/>
        <w:rPr>
          <w:rFonts w:ascii="Helvetica" w:eastAsiaTheme="minorEastAsia" w:hAnsi="Helvetica" w:cstheme="minorBidi"/>
          <w:noProof/>
          <w:sz w:val="20"/>
          <w:szCs w:val="20"/>
        </w:rPr>
      </w:pPr>
      <w:hyperlink w:anchor="_Toc462758514" w:history="1">
        <w:r w:rsidR="00C77F4E" w:rsidRPr="00DE6F85">
          <w:rPr>
            <w:rStyle w:val="Hyperlink"/>
            <w:rFonts w:ascii="Helvetica" w:hAnsi="Helvetica" w:cs="Arial"/>
            <w:noProof/>
            <w:sz w:val="20"/>
            <w:szCs w:val="20"/>
          </w:rPr>
          <w:t>Significant Differences Between the Final Edition and the 2009 Conditions for Accreditation</w:t>
        </w:r>
        <w:r w:rsidR="00C77F4E" w:rsidRPr="00DE6F85">
          <w:rPr>
            <w:rFonts w:ascii="Helvetica" w:hAnsi="Helvetica"/>
            <w:noProof/>
            <w:webHidden/>
            <w:sz w:val="20"/>
            <w:szCs w:val="20"/>
          </w:rPr>
          <w:tab/>
        </w:r>
        <w:r w:rsidR="00C77F4E" w:rsidRPr="00DE6F85">
          <w:rPr>
            <w:rFonts w:ascii="Helvetica" w:hAnsi="Helvetica"/>
            <w:noProof/>
            <w:webHidden/>
            <w:sz w:val="20"/>
            <w:szCs w:val="20"/>
          </w:rPr>
          <w:fldChar w:fldCharType="begin"/>
        </w:r>
        <w:r w:rsidR="00C77F4E" w:rsidRPr="00DE6F85">
          <w:rPr>
            <w:rFonts w:ascii="Helvetica" w:hAnsi="Helvetica"/>
            <w:noProof/>
            <w:webHidden/>
            <w:sz w:val="20"/>
            <w:szCs w:val="20"/>
          </w:rPr>
          <w:instrText xml:space="preserve"> PAGEREF _Toc462758514 \h </w:instrText>
        </w:r>
        <w:r w:rsidR="00C77F4E" w:rsidRPr="00DE6F85">
          <w:rPr>
            <w:rFonts w:ascii="Helvetica" w:hAnsi="Helvetica"/>
            <w:noProof/>
            <w:webHidden/>
            <w:sz w:val="20"/>
            <w:szCs w:val="20"/>
          </w:rPr>
        </w:r>
        <w:r w:rsidR="00C77F4E" w:rsidRPr="00DE6F85">
          <w:rPr>
            <w:rFonts w:ascii="Helvetica" w:hAnsi="Helvetica"/>
            <w:noProof/>
            <w:webHidden/>
            <w:sz w:val="20"/>
            <w:szCs w:val="20"/>
          </w:rPr>
          <w:fldChar w:fldCharType="separate"/>
        </w:r>
        <w:r w:rsidR="00DE6F85">
          <w:rPr>
            <w:rFonts w:ascii="Helvetica" w:hAnsi="Helvetica"/>
            <w:noProof/>
            <w:webHidden/>
            <w:sz w:val="20"/>
            <w:szCs w:val="20"/>
          </w:rPr>
          <w:t>5</w:t>
        </w:r>
        <w:r w:rsidR="00C77F4E" w:rsidRPr="00DE6F85">
          <w:rPr>
            <w:rFonts w:ascii="Helvetica" w:hAnsi="Helvetica"/>
            <w:noProof/>
            <w:webHidden/>
            <w:sz w:val="20"/>
            <w:szCs w:val="20"/>
          </w:rPr>
          <w:fldChar w:fldCharType="end"/>
        </w:r>
      </w:hyperlink>
    </w:p>
    <w:p w14:paraId="4C14FECD" w14:textId="77777777" w:rsidR="00C77F4E" w:rsidRPr="00DE6F85" w:rsidRDefault="009F36C5">
      <w:pPr>
        <w:pStyle w:val="TOC1"/>
        <w:rPr>
          <w:rFonts w:ascii="Helvetica" w:eastAsiaTheme="minorEastAsia" w:hAnsi="Helvetica" w:cstheme="minorBidi"/>
          <w:noProof/>
          <w:sz w:val="20"/>
          <w:szCs w:val="20"/>
        </w:rPr>
      </w:pPr>
      <w:hyperlink w:anchor="_Toc462758515" w:history="1">
        <w:r w:rsidR="00C77F4E" w:rsidRPr="00DE6F85">
          <w:rPr>
            <w:rStyle w:val="Hyperlink"/>
            <w:rFonts w:ascii="Helvetica" w:hAnsi="Helvetica" w:cs="Arial"/>
            <w:noProof/>
            <w:sz w:val="20"/>
            <w:szCs w:val="20"/>
          </w:rPr>
          <w:t>Instructions for Preparing Architecture Program Reports</w:t>
        </w:r>
        <w:r w:rsidR="00C77F4E" w:rsidRPr="00DE6F85">
          <w:rPr>
            <w:rFonts w:ascii="Helvetica" w:hAnsi="Helvetica"/>
            <w:noProof/>
            <w:webHidden/>
            <w:sz w:val="20"/>
            <w:szCs w:val="20"/>
          </w:rPr>
          <w:tab/>
        </w:r>
        <w:r w:rsidR="00C77F4E" w:rsidRPr="00DE6F85">
          <w:rPr>
            <w:rFonts w:ascii="Helvetica" w:hAnsi="Helvetica"/>
            <w:noProof/>
            <w:webHidden/>
            <w:sz w:val="20"/>
            <w:szCs w:val="20"/>
          </w:rPr>
          <w:fldChar w:fldCharType="begin"/>
        </w:r>
        <w:r w:rsidR="00C77F4E" w:rsidRPr="00DE6F85">
          <w:rPr>
            <w:rFonts w:ascii="Helvetica" w:hAnsi="Helvetica"/>
            <w:noProof/>
            <w:webHidden/>
            <w:sz w:val="20"/>
            <w:szCs w:val="20"/>
          </w:rPr>
          <w:instrText xml:space="preserve"> PAGEREF _Toc462758515 \h </w:instrText>
        </w:r>
        <w:r w:rsidR="00C77F4E" w:rsidRPr="00DE6F85">
          <w:rPr>
            <w:rFonts w:ascii="Helvetica" w:hAnsi="Helvetica"/>
            <w:noProof/>
            <w:webHidden/>
            <w:sz w:val="20"/>
            <w:szCs w:val="20"/>
          </w:rPr>
        </w:r>
        <w:r w:rsidR="00C77F4E" w:rsidRPr="00DE6F85">
          <w:rPr>
            <w:rFonts w:ascii="Helvetica" w:hAnsi="Helvetica"/>
            <w:noProof/>
            <w:webHidden/>
            <w:sz w:val="20"/>
            <w:szCs w:val="20"/>
          </w:rPr>
          <w:fldChar w:fldCharType="separate"/>
        </w:r>
        <w:r w:rsidR="00DE6F85">
          <w:rPr>
            <w:rFonts w:ascii="Helvetica" w:hAnsi="Helvetica"/>
            <w:noProof/>
            <w:webHidden/>
            <w:sz w:val="20"/>
            <w:szCs w:val="20"/>
          </w:rPr>
          <w:t>7</w:t>
        </w:r>
        <w:r w:rsidR="00C77F4E" w:rsidRPr="00DE6F85">
          <w:rPr>
            <w:rFonts w:ascii="Helvetica" w:hAnsi="Helvetica"/>
            <w:noProof/>
            <w:webHidden/>
            <w:sz w:val="20"/>
            <w:szCs w:val="20"/>
          </w:rPr>
          <w:fldChar w:fldCharType="end"/>
        </w:r>
      </w:hyperlink>
    </w:p>
    <w:p w14:paraId="5C7FCF3E" w14:textId="77777777" w:rsidR="00C77F4E" w:rsidRPr="00DE6F85" w:rsidRDefault="009F36C5">
      <w:pPr>
        <w:pStyle w:val="TOC2"/>
        <w:rPr>
          <w:rFonts w:ascii="Helvetica" w:eastAsiaTheme="minorEastAsia" w:hAnsi="Helvetica" w:cstheme="minorBidi"/>
          <w:noProof/>
          <w:sz w:val="20"/>
          <w:szCs w:val="20"/>
        </w:rPr>
      </w:pPr>
      <w:hyperlink w:anchor="_Toc462758516" w:history="1">
        <w:r w:rsidR="00C77F4E" w:rsidRPr="00DE6F85">
          <w:rPr>
            <w:rStyle w:val="Hyperlink"/>
            <w:rFonts w:ascii="Helvetica" w:hAnsi="Helvetica" w:cs="Arial"/>
            <w:noProof/>
            <w:sz w:val="20"/>
            <w:szCs w:val="20"/>
          </w:rPr>
          <w:t>Cover Page</w:t>
        </w:r>
        <w:r w:rsidR="00C77F4E" w:rsidRPr="00DE6F85">
          <w:rPr>
            <w:rFonts w:ascii="Helvetica" w:hAnsi="Helvetica"/>
            <w:noProof/>
            <w:webHidden/>
            <w:sz w:val="20"/>
            <w:szCs w:val="20"/>
          </w:rPr>
          <w:tab/>
        </w:r>
        <w:r w:rsidR="00C77F4E" w:rsidRPr="00DE6F85">
          <w:rPr>
            <w:rFonts w:ascii="Helvetica" w:hAnsi="Helvetica"/>
            <w:noProof/>
            <w:webHidden/>
            <w:sz w:val="20"/>
            <w:szCs w:val="20"/>
          </w:rPr>
          <w:fldChar w:fldCharType="begin"/>
        </w:r>
        <w:r w:rsidR="00C77F4E" w:rsidRPr="00DE6F85">
          <w:rPr>
            <w:rFonts w:ascii="Helvetica" w:hAnsi="Helvetica"/>
            <w:noProof/>
            <w:webHidden/>
            <w:sz w:val="20"/>
            <w:szCs w:val="20"/>
          </w:rPr>
          <w:instrText xml:space="preserve"> PAGEREF _Toc462758516 \h </w:instrText>
        </w:r>
        <w:r w:rsidR="00C77F4E" w:rsidRPr="00DE6F85">
          <w:rPr>
            <w:rFonts w:ascii="Helvetica" w:hAnsi="Helvetica"/>
            <w:noProof/>
            <w:webHidden/>
            <w:sz w:val="20"/>
            <w:szCs w:val="20"/>
          </w:rPr>
        </w:r>
        <w:r w:rsidR="00C77F4E" w:rsidRPr="00DE6F85">
          <w:rPr>
            <w:rFonts w:ascii="Helvetica" w:hAnsi="Helvetica"/>
            <w:noProof/>
            <w:webHidden/>
            <w:sz w:val="20"/>
            <w:szCs w:val="20"/>
          </w:rPr>
          <w:fldChar w:fldCharType="separate"/>
        </w:r>
        <w:r w:rsidR="00DE6F85">
          <w:rPr>
            <w:rFonts w:ascii="Helvetica" w:hAnsi="Helvetica"/>
            <w:noProof/>
            <w:webHidden/>
            <w:sz w:val="20"/>
            <w:szCs w:val="20"/>
          </w:rPr>
          <w:t>8</w:t>
        </w:r>
        <w:r w:rsidR="00C77F4E" w:rsidRPr="00DE6F85">
          <w:rPr>
            <w:rFonts w:ascii="Helvetica" w:hAnsi="Helvetica"/>
            <w:noProof/>
            <w:webHidden/>
            <w:sz w:val="20"/>
            <w:szCs w:val="20"/>
          </w:rPr>
          <w:fldChar w:fldCharType="end"/>
        </w:r>
      </w:hyperlink>
    </w:p>
    <w:p w14:paraId="2E3E7662" w14:textId="77777777" w:rsidR="00C77F4E" w:rsidRPr="00DE6F85" w:rsidRDefault="009F36C5">
      <w:pPr>
        <w:pStyle w:val="TOC2"/>
        <w:rPr>
          <w:rFonts w:ascii="Helvetica" w:eastAsiaTheme="minorEastAsia" w:hAnsi="Helvetica" w:cstheme="minorBidi"/>
          <w:noProof/>
          <w:sz w:val="20"/>
          <w:szCs w:val="20"/>
        </w:rPr>
      </w:pPr>
      <w:hyperlink w:anchor="_Toc462758517" w:history="1">
        <w:r w:rsidR="00C77F4E" w:rsidRPr="00DE6F85">
          <w:rPr>
            <w:rStyle w:val="Hyperlink"/>
            <w:rFonts w:ascii="Helvetica" w:hAnsi="Helvetica" w:cs="Arial"/>
            <w:noProof/>
            <w:sz w:val="20"/>
            <w:szCs w:val="20"/>
          </w:rPr>
          <w:t>APR – Section 1 – Program Description</w:t>
        </w:r>
        <w:r w:rsidR="00C77F4E" w:rsidRPr="00DE6F85">
          <w:rPr>
            <w:rFonts w:ascii="Helvetica" w:hAnsi="Helvetica"/>
            <w:noProof/>
            <w:webHidden/>
            <w:sz w:val="20"/>
            <w:szCs w:val="20"/>
          </w:rPr>
          <w:tab/>
        </w:r>
        <w:r w:rsidR="00C77F4E" w:rsidRPr="00DE6F85">
          <w:rPr>
            <w:rFonts w:ascii="Helvetica" w:hAnsi="Helvetica"/>
            <w:noProof/>
            <w:webHidden/>
            <w:sz w:val="20"/>
            <w:szCs w:val="20"/>
          </w:rPr>
          <w:fldChar w:fldCharType="begin"/>
        </w:r>
        <w:r w:rsidR="00C77F4E" w:rsidRPr="00DE6F85">
          <w:rPr>
            <w:rFonts w:ascii="Helvetica" w:hAnsi="Helvetica"/>
            <w:noProof/>
            <w:webHidden/>
            <w:sz w:val="20"/>
            <w:szCs w:val="20"/>
          </w:rPr>
          <w:instrText xml:space="preserve"> PAGEREF _Toc462758517 \h </w:instrText>
        </w:r>
        <w:r w:rsidR="00C77F4E" w:rsidRPr="00DE6F85">
          <w:rPr>
            <w:rFonts w:ascii="Helvetica" w:hAnsi="Helvetica"/>
            <w:noProof/>
            <w:webHidden/>
            <w:sz w:val="20"/>
            <w:szCs w:val="20"/>
          </w:rPr>
        </w:r>
        <w:r w:rsidR="00C77F4E" w:rsidRPr="00DE6F85">
          <w:rPr>
            <w:rFonts w:ascii="Helvetica" w:hAnsi="Helvetica"/>
            <w:noProof/>
            <w:webHidden/>
            <w:sz w:val="20"/>
            <w:szCs w:val="20"/>
          </w:rPr>
          <w:fldChar w:fldCharType="separate"/>
        </w:r>
        <w:r w:rsidR="00DE6F85">
          <w:rPr>
            <w:rFonts w:ascii="Helvetica" w:hAnsi="Helvetica"/>
            <w:noProof/>
            <w:webHidden/>
            <w:sz w:val="20"/>
            <w:szCs w:val="20"/>
          </w:rPr>
          <w:t>8</w:t>
        </w:r>
        <w:r w:rsidR="00C77F4E" w:rsidRPr="00DE6F85">
          <w:rPr>
            <w:rFonts w:ascii="Helvetica" w:hAnsi="Helvetica"/>
            <w:noProof/>
            <w:webHidden/>
            <w:sz w:val="20"/>
            <w:szCs w:val="20"/>
          </w:rPr>
          <w:fldChar w:fldCharType="end"/>
        </w:r>
      </w:hyperlink>
    </w:p>
    <w:p w14:paraId="2D5066EB" w14:textId="77777777" w:rsidR="00C77F4E" w:rsidRPr="00DE6F85" w:rsidRDefault="009F36C5">
      <w:pPr>
        <w:pStyle w:val="TOC2"/>
        <w:rPr>
          <w:rFonts w:ascii="Helvetica" w:eastAsiaTheme="minorEastAsia" w:hAnsi="Helvetica" w:cstheme="minorBidi"/>
          <w:noProof/>
          <w:sz w:val="20"/>
          <w:szCs w:val="20"/>
        </w:rPr>
      </w:pPr>
      <w:hyperlink w:anchor="_Toc462758518" w:history="1">
        <w:r w:rsidR="00C77F4E" w:rsidRPr="00DE6F85">
          <w:rPr>
            <w:rStyle w:val="Hyperlink"/>
            <w:rFonts w:ascii="Helvetica" w:hAnsi="Helvetica" w:cs="Arial"/>
            <w:noProof/>
            <w:sz w:val="20"/>
            <w:szCs w:val="20"/>
          </w:rPr>
          <w:t>I.1.1 History and Mission:</w:t>
        </w:r>
        <w:r w:rsidR="00C77F4E" w:rsidRPr="00DE6F85">
          <w:rPr>
            <w:rFonts w:ascii="Helvetica" w:hAnsi="Helvetica"/>
            <w:noProof/>
            <w:webHidden/>
            <w:sz w:val="20"/>
            <w:szCs w:val="20"/>
          </w:rPr>
          <w:tab/>
        </w:r>
        <w:r w:rsidR="00C77F4E" w:rsidRPr="00DE6F85">
          <w:rPr>
            <w:rFonts w:ascii="Helvetica" w:hAnsi="Helvetica"/>
            <w:noProof/>
            <w:webHidden/>
            <w:sz w:val="20"/>
            <w:szCs w:val="20"/>
          </w:rPr>
          <w:fldChar w:fldCharType="begin"/>
        </w:r>
        <w:r w:rsidR="00C77F4E" w:rsidRPr="00DE6F85">
          <w:rPr>
            <w:rFonts w:ascii="Helvetica" w:hAnsi="Helvetica"/>
            <w:noProof/>
            <w:webHidden/>
            <w:sz w:val="20"/>
            <w:szCs w:val="20"/>
          </w:rPr>
          <w:instrText xml:space="preserve"> PAGEREF _Toc462758518 \h </w:instrText>
        </w:r>
        <w:r w:rsidR="00C77F4E" w:rsidRPr="00DE6F85">
          <w:rPr>
            <w:rFonts w:ascii="Helvetica" w:hAnsi="Helvetica"/>
            <w:noProof/>
            <w:webHidden/>
            <w:sz w:val="20"/>
            <w:szCs w:val="20"/>
          </w:rPr>
        </w:r>
        <w:r w:rsidR="00C77F4E" w:rsidRPr="00DE6F85">
          <w:rPr>
            <w:rFonts w:ascii="Helvetica" w:hAnsi="Helvetica"/>
            <w:noProof/>
            <w:webHidden/>
            <w:sz w:val="20"/>
            <w:szCs w:val="20"/>
          </w:rPr>
          <w:fldChar w:fldCharType="separate"/>
        </w:r>
        <w:r w:rsidR="00DE6F85">
          <w:rPr>
            <w:rFonts w:ascii="Helvetica" w:hAnsi="Helvetica"/>
            <w:noProof/>
            <w:webHidden/>
            <w:sz w:val="20"/>
            <w:szCs w:val="20"/>
          </w:rPr>
          <w:t>8</w:t>
        </w:r>
        <w:r w:rsidR="00C77F4E" w:rsidRPr="00DE6F85">
          <w:rPr>
            <w:rFonts w:ascii="Helvetica" w:hAnsi="Helvetica"/>
            <w:noProof/>
            <w:webHidden/>
            <w:sz w:val="20"/>
            <w:szCs w:val="20"/>
          </w:rPr>
          <w:fldChar w:fldCharType="end"/>
        </w:r>
      </w:hyperlink>
    </w:p>
    <w:p w14:paraId="00890CA2" w14:textId="77777777" w:rsidR="00C77F4E" w:rsidRPr="00DE6F85" w:rsidRDefault="009F36C5">
      <w:pPr>
        <w:pStyle w:val="TOC2"/>
        <w:rPr>
          <w:rFonts w:ascii="Helvetica" w:eastAsiaTheme="minorEastAsia" w:hAnsi="Helvetica" w:cstheme="minorBidi"/>
          <w:noProof/>
          <w:sz w:val="20"/>
          <w:szCs w:val="20"/>
        </w:rPr>
      </w:pPr>
      <w:hyperlink w:anchor="_Toc462758519" w:history="1">
        <w:r w:rsidR="00C77F4E" w:rsidRPr="00DE6F85">
          <w:rPr>
            <w:rStyle w:val="Hyperlink"/>
            <w:rFonts w:ascii="Helvetica" w:hAnsi="Helvetica" w:cs="Arial"/>
            <w:noProof/>
            <w:sz w:val="20"/>
            <w:szCs w:val="20"/>
          </w:rPr>
          <w:t>I.1.2 Learning Culture</w:t>
        </w:r>
        <w:r w:rsidR="00C77F4E" w:rsidRPr="00DE6F85">
          <w:rPr>
            <w:rFonts w:ascii="Helvetica" w:hAnsi="Helvetica"/>
            <w:noProof/>
            <w:webHidden/>
            <w:sz w:val="20"/>
            <w:szCs w:val="20"/>
          </w:rPr>
          <w:tab/>
        </w:r>
        <w:r w:rsidR="00C77F4E" w:rsidRPr="00DE6F85">
          <w:rPr>
            <w:rFonts w:ascii="Helvetica" w:hAnsi="Helvetica"/>
            <w:noProof/>
            <w:webHidden/>
            <w:sz w:val="20"/>
            <w:szCs w:val="20"/>
          </w:rPr>
          <w:fldChar w:fldCharType="begin"/>
        </w:r>
        <w:r w:rsidR="00C77F4E" w:rsidRPr="00DE6F85">
          <w:rPr>
            <w:rFonts w:ascii="Helvetica" w:hAnsi="Helvetica"/>
            <w:noProof/>
            <w:webHidden/>
            <w:sz w:val="20"/>
            <w:szCs w:val="20"/>
          </w:rPr>
          <w:instrText xml:space="preserve"> PAGEREF _Toc462758519 \h </w:instrText>
        </w:r>
        <w:r w:rsidR="00C77F4E" w:rsidRPr="00DE6F85">
          <w:rPr>
            <w:rFonts w:ascii="Helvetica" w:hAnsi="Helvetica"/>
            <w:noProof/>
            <w:webHidden/>
            <w:sz w:val="20"/>
            <w:szCs w:val="20"/>
          </w:rPr>
        </w:r>
        <w:r w:rsidR="00C77F4E" w:rsidRPr="00DE6F85">
          <w:rPr>
            <w:rFonts w:ascii="Helvetica" w:hAnsi="Helvetica"/>
            <w:noProof/>
            <w:webHidden/>
            <w:sz w:val="20"/>
            <w:szCs w:val="20"/>
          </w:rPr>
          <w:fldChar w:fldCharType="separate"/>
        </w:r>
        <w:r w:rsidR="00DE6F85">
          <w:rPr>
            <w:rFonts w:ascii="Helvetica" w:hAnsi="Helvetica"/>
            <w:noProof/>
            <w:webHidden/>
            <w:sz w:val="20"/>
            <w:szCs w:val="20"/>
          </w:rPr>
          <w:t>9</w:t>
        </w:r>
        <w:r w:rsidR="00C77F4E" w:rsidRPr="00DE6F85">
          <w:rPr>
            <w:rFonts w:ascii="Helvetica" w:hAnsi="Helvetica"/>
            <w:noProof/>
            <w:webHidden/>
            <w:sz w:val="20"/>
            <w:szCs w:val="20"/>
          </w:rPr>
          <w:fldChar w:fldCharType="end"/>
        </w:r>
      </w:hyperlink>
    </w:p>
    <w:p w14:paraId="24B64C5D" w14:textId="77777777" w:rsidR="00C77F4E" w:rsidRPr="00DE6F85" w:rsidRDefault="009F36C5">
      <w:pPr>
        <w:pStyle w:val="TOC2"/>
        <w:rPr>
          <w:rFonts w:ascii="Helvetica" w:eastAsiaTheme="minorEastAsia" w:hAnsi="Helvetica" w:cstheme="minorBidi"/>
          <w:noProof/>
          <w:sz w:val="20"/>
          <w:szCs w:val="20"/>
        </w:rPr>
      </w:pPr>
      <w:hyperlink w:anchor="_Toc462758520" w:history="1">
        <w:r w:rsidR="00C77F4E" w:rsidRPr="00DE6F85">
          <w:rPr>
            <w:rStyle w:val="Hyperlink"/>
            <w:rFonts w:ascii="Helvetica" w:hAnsi="Helvetica" w:cs="Arial"/>
            <w:noProof/>
            <w:sz w:val="20"/>
            <w:szCs w:val="20"/>
          </w:rPr>
          <w:t>I.1.3 Social Equity:</w:t>
        </w:r>
        <w:r w:rsidR="00C77F4E" w:rsidRPr="00DE6F85">
          <w:rPr>
            <w:rFonts w:ascii="Helvetica" w:hAnsi="Helvetica"/>
            <w:noProof/>
            <w:webHidden/>
            <w:sz w:val="20"/>
            <w:szCs w:val="20"/>
          </w:rPr>
          <w:tab/>
        </w:r>
        <w:r w:rsidR="00C77F4E" w:rsidRPr="00DE6F85">
          <w:rPr>
            <w:rFonts w:ascii="Helvetica" w:hAnsi="Helvetica"/>
            <w:noProof/>
            <w:webHidden/>
            <w:sz w:val="20"/>
            <w:szCs w:val="20"/>
          </w:rPr>
          <w:fldChar w:fldCharType="begin"/>
        </w:r>
        <w:r w:rsidR="00C77F4E" w:rsidRPr="00DE6F85">
          <w:rPr>
            <w:rFonts w:ascii="Helvetica" w:hAnsi="Helvetica"/>
            <w:noProof/>
            <w:webHidden/>
            <w:sz w:val="20"/>
            <w:szCs w:val="20"/>
          </w:rPr>
          <w:instrText xml:space="preserve"> PAGEREF _Toc462758520 \h </w:instrText>
        </w:r>
        <w:r w:rsidR="00C77F4E" w:rsidRPr="00DE6F85">
          <w:rPr>
            <w:rFonts w:ascii="Helvetica" w:hAnsi="Helvetica"/>
            <w:noProof/>
            <w:webHidden/>
            <w:sz w:val="20"/>
            <w:szCs w:val="20"/>
          </w:rPr>
        </w:r>
        <w:r w:rsidR="00C77F4E" w:rsidRPr="00DE6F85">
          <w:rPr>
            <w:rFonts w:ascii="Helvetica" w:hAnsi="Helvetica"/>
            <w:noProof/>
            <w:webHidden/>
            <w:sz w:val="20"/>
            <w:szCs w:val="20"/>
          </w:rPr>
          <w:fldChar w:fldCharType="separate"/>
        </w:r>
        <w:r w:rsidR="00DE6F85">
          <w:rPr>
            <w:rFonts w:ascii="Helvetica" w:hAnsi="Helvetica"/>
            <w:noProof/>
            <w:webHidden/>
            <w:sz w:val="20"/>
            <w:szCs w:val="20"/>
          </w:rPr>
          <w:t>9</w:t>
        </w:r>
        <w:r w:rsidR="00C77F4E" w:rsidRPr="00DE6F85">
          <w:rPr>
            <w:rFonts w:ascii="Helvetica" w:hAnsi="Helvetica"/>
            <w:noProof/>
            <w:webHidden/>
            <w:sz w:val="20"/>
            <w:szCs w:val="20"/>
          </w:rPr>
          <w:fldChar w:fldCharType="end"/>
        </w:r>
      </w:hyperlink>
    </w:p>
    <w:p w14:paraId="009C5765" w14:textId="77777777" w:rsidR="00C77F4E" w:rsidRPr="00DE6F85" w:rsidRDefault="009F36C5">
      <w:pPr>
        <w:pStyle w:val="TOC2"/>
        <w:rPr>
          <w:rFonts w:ascii="Helvetica" w:eastAsiaTheme="minorEastAsia" w:hAnsi="Helvetica" w:cstheme="minorBidi"/>
          <w:noProof/>
          <w:sz w:val="20"/>
          <w:szCs w:val="20"/>
        </w:rPr>
      </w:pPr>
      <w:hyperlink w:anchor="_Toc462758521" w:history="1">
        <w:r w:rsidR="00C77F4E" w:rsidRPr="00DE6F85">
          <w:rPr>
            <w:rStyle w:val="Hyperlink"/>
            <w:rFonts w:ascii="Helvetica" w:hAnsi="Helvetica" w:cs="Arial"/>
            <w:noProof/>
            <w:sz w:val="20"/>
            <w:szCs w:val="20"/>
          </w:rPr>
          <w:t>I.1.4 Defining Perspectives</w:t>
        </w:r>
        <w:r w:rsidR="00C77F4E" w:rsidRPr="00DE6F85">
          <w:rPr>
            <w:rFonts w:ascii="Helvetica" w:hAnsi="Helvetica"/>
            <w:noProof/>
            <w:webHidden/>
            <w:sz w:val="20"/>
            <w:szCs w:val="20"/>
          </w:rPr>
          <w:tab/>
        </w:r>
        <w:r w:rsidR="00C77F4E" w:rsidRPr="00DE6F85">
          <w:rPr>
            <w:rFonts w:ascii="Helvetica" w:hAnsi="Helvetica"/>
            <w:noProof/>
            <w:webHidden/>
            <w:sz w:val="20"/>
            <w:szCs w:val="20"/>
          </w:rPr>
          <w:fldChar w:fldCharType="begin"/>
        </w:r>
        <w:r w:rsidR="00C77F4E" w:rsidRPr="00DE6F85">
          <w:rPr>
            <w:rFonts w:ascii="Helvetica" w:hAnsi="Helvetica"/>
            <w:noProof/>
            <w:webHidden/>
            <w:sz w:val="20"/>
            <w:szCs w:val="20"/>
          </w:rPr>
          <w:instrText xml:space="preserve"> PAGEREF _Toc462758521 \h </w:instrText>
        </w:r>
        <w:r w:rsidR="00C77F4E" w:rsidRPr="00DE6F85">
          <w:rPr>
            <w:rFonts w:ascii="Helvetica" w:hAnsi="Helvetica"/>
            <w:noProof/>
            <w:webHidden/>
            <w:sz w:val="20"/>
            <w:szCs w:val="20"/>
          </w:rPr>
        </w:r>
        <w:r w:rsidR="00C77F4E" w:rsidRPr="00DE6F85">
          <w:rPr>
            <w:rFonts w:ascii="Helvetica" w:hAnsi="Helvetica"/>
            <w:noProof/>
            <w:webHidden/>
            <w:sz w:val="20"/>
            <w:szCs w:val="20"/>
          </w:rPr>
          <w:fldChar w:fldCharType="separate"/>
        </w:r>
        <w:r w:rsidR="00DE6F85">
          <w:rPr>
            <w:rFonts w:ascii="Helvetica" w:hAnsi="Helvetica"/>
            <w:noProof/>
            <w:webHidden/>
            <w:sz w:val="20"/>
            <w:szCs w:val="20"/>
          </w:rPr>
          <w:t>9</w:t>
        </w:r>
        <w:r w:rsidR="00C77F4E" w:rsidRPr="00DE6F85">
          <w:rPr>
            <w:rFonts w:ascii="Helvetica" w:hAnsi="Helvetica"/>
            <w:noProof/>
            <w:webHidden/>
            <w:sz w:val="20"/>
            <w:szCs w:val="20"/>
          </w:rPr>
          <w:fldChar w:fldCharType="end"/>
        </w:r>
      </w:hyperlink>
    </w:p>
    <w:p w14:paraId="08D160E0" w14:textId="77777777" w:rsidR="00C77F4E" w:rsidRPr="00DE6F85" w:rsidRDefault="009F36C5">
      <w:pPr>
        <w:pStyle w:val="TOC2"/>
        <w:rPr>
          <w:rFonts w:ascii="Helvetica" w:eastAsiaTheme="minorEastAsia" w:hAnsi="Helvetica" w:cstheme="minorBidi"/>
          <w:noProof/>
          <w:sz w:val="20"/>
          <w:szCs w:val="20"/>
        </w:rPr>
      </w:pPr>
      <w:hyperlink w:anchor="_Toc462758522" w:history="1">
        <w:r w:rsidR="00C77F4E" w:rsidRPr="00DE6F85">
          <w:rPr>
            <w:rStyle w:val="Hyperlink"/>
            <w:rFonts w:ascii="Helvetica" w:hAnsi="Helvetica" w:cs="Arial"/>
            <w:noProof/>
            <w:sz w:val="20"/>
            <w:szCs w:val="20"/>
          </w:rPr>
          <w:t>I.1.5 Long-Range Planning</w:t>
        </w:r>
        <w:r w:rsidR="00C77F4E" w:rsidRPr="00DE6F85">
          <w:rPr>
            <w:rFonts w:ascii="Helvetica" w:hAnsi="Helvetica"/>
            <w:noProof/>
            <w:webHidden/>
            <w:sz w:val="20"/>
            <w:szCs w:val="20"/>
          </w:rPr>
          <w:tab/>
        </w:r>
        <w:r w:rsidR="00C77F4E" w:rsidRPr="00DE6F85">
          <w:rPr>
            <w:rFonts w:ascii="Helvetica" w:hAnsi="Helvetica"/>
            <w:noProof/>
            <w:webHidden/>
            <w:sz w:val="20"/>
            <w:szCs w:val="20"/>
          </w:rPr>
          <w:fldChar w:fldCharType="begin"/>
        </w:r>
        <w:r w:rsidR="00C77F4E" w:rsidRPr="00DE6F85">
          <w:rPr>
            <w:rFonts w:ascii="Helvetica" w:hAnsi="Helvetica"/>
            <w:noProof/>
            <w:webHidden/>
            <w:sz w:val="20"/>
            <w:szCs w:val="20"/>
          </w:rPr>
          <w:instrText xml:space="preserve"> PAGEREF _Toc462758522 \h </w:instrText>
        </w:r>
        <w:r w:rsidR="00C77F4E" w:rsidRPr="00DE6F85">
          <w:rPr>
            <w:rFonts w:ascii="Helvetica" w:hAnsi="Helvetica"/>
            <w:noProof/>
            <w:webHidden/>
            <w:sz w:val="20"/>
            <w:szCs w:val="20"/>
          </w:rPr>
        </w:r>
        <w:r w:rsidR="00C77F4E" w:rsidRPr="00DE6F85">
          <w:rPr>
            <w:rFonts w:ascii="Helvetica" w:hAnsi="Helvetica"/>
            <w:noProof/>
            <w:webHidden/>
            <w:sz w:val="20"/>
            <w:szCs w:val="20"/>
          </w:rPr>
          <w:fldChar w:fldCharType="separate"/>
        </w:r>
        <w:r w:rsidR="00DE6F85">
          <w:rPr>
            <w:rFonts w:ascii="Helvetica" w:hAnsi="Helvetica"/>
            <w:noProof/>
            <w:webHidden/>
            <w:sz w:val="20"/>
            <w:szCs w:val="20"/>
          </w:rPr>
          <w:t>11</w:t>
        </w:r>
        <w:r w:rsidR="00C77F4E" w:rsidRPr="00DE6F85">
          <w:rPr>
            <w:rFonts w:ascii="Helvetica" w:hAnsi="Helvetica"/>
            <w:noProof/>
            <w:webHidden/>
            <w:sz w:val="20"/>
            <w:szCs w:val="20"/>
          </w:rPr>
          <w:fldChar w:fldCharType="end"/>
        </w:r>
      </w:hyperlink>
    </w:p>
    <w:p w14:paraId="637E1C6C" w14:textId="77777777" w:rsidR="00C77F4E" w:rsidRPr="00DE6F85" w:rsidRDefault="009F36C5">
      <w:pPr>
        <w:pStyle w:val="TOC2"/>
        <w:rPr>
          <w:rFonts w:ascii="Helvetica" w:eastAsiaTheme="minorEastAsia" w:hAnsi="Helvetica" w:cstheme="minorBidi"/>
          <w:noProof/>
          <w:sz w:val="20"/>
          <w:szCs w:val="20"/>
        </w:rPr>
      </w:pPr>
      <w:hyperlink w:anchor="_Toc462758523" w:history="1">
        <w:r w:rsidR="00C77F4E" w:rsidRPr="00DE6F85">
          <w:rPr>
            <w:rStyle w:val="Hyperlink"/>
            <w:rFonts w:ascii="Helvetica" w:hAnsi="Helvetica" w:cs="Arial"/>
            <w:noProof/>
            <w:sz w:val="20"/>
            <w:szCs w:val="20"/>
          </w:rPr>
          <w:t>I.1.6.A Program Self-Assessment:</w:t>
        </w:r>
        <w:r w:rsidR="00C77F4E" w:rsidRPr="00DE6F85">
          <w:rPr>
            <w:rFonts w:ascii="Helvetica" w:hAnsi="Helvetica"/>
            <w:noProof/>
            <w:webHidden/>
            <w:sz w:val="20"/>
            <w:szCs w:val="20"/>
          </w:rPr>
          <w:tab/>
        </w:r>
        <w:r w:rsidR="00C77F4E" w:rsidRPr="00DE6F85">
          <w:rPr>
            <w:rFonts w:ascii="Helvetica" w:hAnsi="Helvetica"/>
            <w:noProof/>
            <w:webHidden/>
            <w:sz w:val="20"/>
            <w:szCs w:val="20"/>
          </w:rPr>
          <w:fldChar w:fldCharType="begin"/>
        </w:r>
        <w:r w:rsidR="00C77F4E" w:rsidRPr="00DE6F85">
          <w:rPr>
            <w:rFonts w:ascii="Helvetica" w:hAnsi="Helvetica"/>
            <w:noProof/>
            <w:webHidden/>
            <w:sz w:val="20"/>
            <w:szCs w:val="20"/>
          </w:rPr>
          <w:instrText xml:space="preserve"> PAGEREF _Toc462758523 \h </w:instrText>
        </w:r>
        <w:r w:rsidR="00C77F4E" w:rsidRPr="00DE6F85">
          <w:rPr>
            <w:rFonts w:ascii="Helvetica" w:hAnsi="Helvetica"/>
            <w:noProof/>
            <w:webHidden/>
            <w:sz w:val="20"/>
            <w:szCs w:val="20"/>
          </w:rPr>
        </w:r>
        <w:r w:rsidR="00C77F4E" w:rsidRPr="00DE6F85">
          <w:rPr>
            <w:rFonts w:ascii="Helvetica" w:hAnsi="Helvetica"/>
            <w:noProof/>
            <w:webHidden/>
            <w:sz w:val="20"/>
            <w:szCs w:val="20"/>
          </w:rPr>
          <w:fldChar w:fldCharType="separate"/>
        </w:r>
        <w:r w:rsidR="00DE6F85">
          <w:rPr>
            <w:rFonts w:ascii="Helvetica" w:hAnsi="Helvetica"/>
            <w:noProof/>
            <w:webHidden/>
            <w:sz w:val="20"/>
            <w:szCs w:val="20"/>
          </w:rPr>
          <w:t>11</w:t>
        </w:r>
        <w:r w:rsidR="00C77F4E" w:rsidRPr="00DE6F85">
          <w:rPr>
            <w:rFonts w:ascii="Helvetica" w:hAnsi="Helvetica"/>
            <w:noProof/>
            <w:webHidden/>
            <w:sz w:val="20"/>
            <w:szCs w:val="20"/>
          </w:rPr>
          <w:fldChar w:fldCharType="end"/>
        </w:r>
      </w:hyperlink>
    </w:p>
    <w:p w14:paraId="78153AEA" w14:textId="77777777" w:rsidR="00C77F4E" w:rsidRPr="00DE6F85" w:rsidRDefault="009F36C5">
      <w:pPr>
        <w:pStyle w:val="TOC2"/>
        <w:rPr>
          <w:rFonts w:ascii="Helvetica" w:eastAsiaTheme="minorEastAsia" w:hAnsi="Helvetica" w:cstheme="minorBidi"/>
          <w:noProof/>
          <w:sz w:val="20"/>
          <w:szCs w:val="20"/>
        </w:rPr>
      </w:pPr>
      <w:hyperlink w:anchor="_Toc462758524" w:history="1">
        <w:r w:rsidR="00C77F4E" w:rsidRPr="00DE6F85">
          <w:rPr>
            <w:rStyle w:val="Hyperlink"/>
            <w:rFonts w:ascii="Helvetica" w:hAnsi="Helvetica" w:cs="Arial"/>
            <w:noProof/>
            <w:sz w:val="20"/>
            <w:szCs w:val="20"/>
          </w:rPr>
          <w:t>APR – Section 2 – Progress Since the Previous Visit</w:t>
        </w:r>
        <w:r w:rsidR="00C77F4E" w:rsidRPr="00DE6F85">
          <w:rPr>
            <w:rFonts w:ascii="Helvetica" w:hAnsi="Helvetica"/>
            <w:noProof/>
            <w:webHidden/>
            <w:sz w:val="20"/>
            <w:szCs w:val="20"/>
          </w:rPr>
          <w:tab/>
        </w:r>
        <w:r w:rsidR="00C77F4E" w:rsidRPr="00DE6F85">
          <w:rPr>
            <w:rFonts w:ascii="Helvetica" w:hAnsi="Helvetica"/>
            <w:noProof/>
            <w:webHidden/>
            <w:sz w:val="20"/>
            <w:szCs w:val="20"/>
          </w:rPr>
          <w:fldChar w:fldCharType="begin"/>
        </w:r>
        <w:r w:rsidR="00C77F4E" w:rsidRPr="00DE6F85">
          <w:rPr>
            <w:rFonts w:ascii="Helvetica" w:hAnsi="Helvetica"/>
            <w:noProof/>
            <w:webHidden/>
            <w:sz w:val="20"/>
            <w:szCs w:val="20"/>
          </w:rPr>
          <w:instrText xml:space="preserve"> PAGEREF _Toc462758524 \h </w:instrText>
        </w:r>
        <w:r w:rsidR="00C77F4E" w:rsidRPr="00DE6F85">
          <w:rPr>
            <w:rFonts w:ascii="Helvetica" w:hAnsi="Helvetica"/>
            <w:noProof/>
            <w:webHidden/>
            <w:sz w:val="20"/>
            <w:szCs w:val="20"/>
          </w:rPr>
        </w:r>
        <w:r w:rsidR="00C77F4E" w:rsidRPr="00DE6F85">
          <w:rPr>
            <w:rFonts w:ascii="Helvetica" w:hAnsi="Helvetica"/>
            <w:noProof/>
            <w:webHidden/>
            <w:sz w:val="20"/>
            <w:szCs w:val="20"/>
          </w:rPr>
          <w:fldChar w:fldCharType="separate"/>
        </w:r>
        <w:r w:rsidR="00DE6F85">
          <w:rPr>
            <w:rFonts w:ascii="Helvetica" w:hAnsi="Helvetica"/>
            <w:noProof/>
            <w:webHidden/>
            <w:sz w:val="20"/>
            <w:szCs w:val="20"/>
          </w:rPr>
          <w:t>12</w:t>
        </w:r>
        <w:r w:rsidR="00C77F4E" w:rsidRPr="00DE6F85">
          <w:rPr>
            <w:rFonts w:ascii="Helvetica" w:hAnsi="Helvetica"/>
            <w:noProof/>
            <w:webHidden/>
            <w:sz w:val="20"/>
            <w:szCs w:val="20"/>
          </w:rPr>
          <w:fldChar w:fldCharType="end"/>
        </w:r>
      </w:hyperlink>
    </w:p>
    <w:p w14:paraId="6182217C" w14:textId="77777777" w:rsidR="00C77F4E" w:rsidRPr="00DE6F85" w:rsidRDefault="009F36C5">
      <w:pPr>
        <w:pStyle w:val="TOC2"/>
        <w:rPr>
          <w:rFonts w:ascii="Helvetica" w:eastAsiaTheme="minorEastAsia" w:hAnsi="Helvetica" w:cstheme="minorBidi"/>
          <w:noProof/>
          <w:sz w:val="20"/>
          <w:szCs w:val="20"/>
        </w:rPr>
      </w:pPr>
      <w:hyperlink w:anchor="_Toc462758525" w:history="1">
        <w:r w:rsidR="00C77F4E" w:rsidRPr="00DE6F85">
          <w:rPr>
            <w:rStyle w:val="Hyperlink"/>
            <w:rFonts w:ascii="Helvetica" w:hAnsi="Helvetica" w:cs="Arial"/>
            <w:noProof/>
            <w:sz w:val="20"/>
            <w:szCs w:val="20"/>
          </w:rPr>
          <w:t>APR – Section 3 – Compliance with the Conditions for Accreditation</w:t>
        </w:r>
        <w:r w:rsidR="00C77F4E" w:rsidRPr="00DE6F85">
          <w:rPr>
            <w:rFonts w:ascii="Helvetica" w:hAnsi="Helvetica"/>
            <w:noProof/>
            <w:webHidden/>
            <w:sz w:val="20"/>
            <w:szCs w:val="20"/>
          </w:rPr>
          <w:tab/>
        </w:r>
        <w:r w:rsidR="00C77F4E" w:rsidRPr="00DE6F85">
          <w:rPr>
            <w:rFonts w:ascii="Helvetica" w:hAnsi="Helvetica"/>
            <w:noProof/>
            <w:webHidden/>
            <w:sz w:val="20"/>
            <w:szCs w:val="20"/>
          </w:rPr>
          <w:fldChar w:fldCharType="begin"/>
        </w:r>
        <w:r w:rsidR="00C77F4E" w:rsidRPr="00DE6F85">
          <w:rPr>
            <w:rFonts w:ascii="Helvetica" w:hAnsi="Helvetica"/>
            <w:noProof/>
            <w:webHidden/>
            <w:sz w:val="20"/>
            <w:szCs w:val="20"/>
          </w:rPr>
          <w:instrText xml:space="preserve"> PAGEREF _Toc462758525 \h </w:instrText>
        </w:r>
        <w:r w:rsidR="00C77F4E" w:rsidRPr="00DE6F85">
          <w:rPr>
            <w:rFonts w:ascii="Helvetica" w:hAnsi="Helvetica"/>
            <w:noProof/>
            <w:webHidden/>
            <w:sz w:val="20"/>
            <w:szCs w:val="20"/>
          </w:rPr>
        </w:r>
        <w:r w:rsidR="00C77F4E" w:rsidRPr="00DE6F85">
          <w:rPr>
            <w:rFonts w:ascii="Helvetica" w:hAnsi="Helvetica"/>
            <w:noProof/>
            <w:webHidden/>
            <w:sz w:val="20"/>
            <w:szCs w:val="20"/>
          </w:rPr>
          <w:fldChar w:fldCharType="separate"/>
        </w:r>
        <w:r w:rsidR="00DE6F85">
          <w:rPr>
            <w:rFonts w:ascii="Helvetica" w:hAnsi="Helvetica"/>
            <w:noProof/>
            <w:webHidden/>
            <w:sz w:val="20"/>
            <w:szCs w:val="20"/>
          </w:rPr>
          <w:t>12</w:t>
        </w:r>
        <w:r w:rsidR="00C77F4E" w:rsidRPr="00DE6F85">
          <w:rPr>
            <w:rFonts w:ascii="Helvetica" w:hAnsi="Helvetica"/>
            <w:noProof/>
            <w:webHidden/>
            <w:sz w:val="20"/>
            <w:szCs w:val="20"/>
          </w:rPr>
          <w:fldChar w:fldCharType="end"/>
        </w:r>
      </w:hyperlink>
    </w:p>
    <w:p w14:paraId="584B8343" w14:textId="77777777" w:rsidR="00C77F4E" w:rsidRPr="00DE6F85" w:rsidRDefault="009F36C5">
      <w:pPr>
        <w:pStyle w:val="TOC2"/>
        <w:rPr>
          <w:rFonts w:ascii="Helvetica" w:eastAsiaTheme="minorEastAsia" w:hAnsi="Helvetica" w:cstheme="minorBidi"/>
          <w:noProof/>
          <w:sz w:val="20"/>
          <w:szCs w:val="20"/>
        </w:rPr>
      </w:pPr>
      <w:hyperlink w:anchor="_Toc462758526" w:history="1">
        <w:r w:rsidR="00C77F4E" w:rsidRPr="00DE6F85">
          <w:rPr>
            <w:rStyle w:val="Hyperlink"/>
            <w:rFonts w:ascii="Helvetica" w:hAnsi="Helvetica" w:cs="Arial"/>
            <w:noProof/>
            <w:sz w:val="20"/>
            <w:szCs w:val="20"/>
          </w:rPr>
          <w:t>I.2.1 Human Resources &amp; Human Resource Development:</w:t>
        </w:r>
        <w:r w:rsidR="00C77F4E" w:rsidRPr="00DE6F85">
          <w:rPr>
            <w:rFonts w:ascii="Helvetica" w:hAnsi="Helvetica"/>
            <w:noProof/>
            <w:webHidden/>
            <w:sz w:val="20"/>
            <w:szCs w:val="20"/>
          </w:rPr>
          <w:tab/>
        </w:r>
        <w:r w:rsidR="00C77F4E" w:rsidRPr="00DE6F85">
          <w:rPr>
            <w:rFonts w:ascii="Helvetica" w:hAnsi="Helvetica"/>
            <w:noProof/>
            <w:webHidden/>
            <w:sz w:val="20"/>
            <w:szCs w:val="20"/>
          </w:rPr>
          <w:fldChar w:fldCharType="begin"/>
        </w:r>
        <w:r w:rsidR="00C77F4E" w:rsidRPr="00DE6F85">
          <w:rPr>
            <w:rFonts w:ascii="Helvetica" w:hAnsi="Helvetica"/>
            <w:noProof/>
            <w:webHidden/>
            <w:sz w:val="20"/>
            <w:szCs w:val="20"/>
          </w:rPr>
          <w:instrText xml:space="preserve"> PAGEREF _Toc462758526 \h </w:instrText>
        </w:r>
        <w:r w:rsidR="00C77F4E" w:rsidRPr="00DE6F85">
          <w:rPr>
            <w:rFonts w:ascii="Helvetica" w:hAnsi="Helvetica"/>
            <w:noProof/>
            <w:webHidden/>
            <w:sz w:val="20"/>
            <w:szCs w:val="20"/>
          </w:rPr>
        </w:r>
        <w:r w:rsidR="00C77F4E" w:rsidRPr="00DE6F85">
          <w:rPr>
            <w:rFonts w:ascii="Helvetica" w:hAnsi="Helvetica"/>
            <w:noProof/>
            <w:webHidden/>
            <w:sz w:val="20"/>
            <w:szCs w:val="20"/>
          </w:rPr>
          <w:fldChar w:fldCharType="separate"/>
        </w:r>
        <w:r w:rsidR="00DE6F85">
          <w:rPr>
            <w:rFonts w:ascii="Helvetica" w:hAnsi="Helvetica"/>
            <w:noProof/>
            <w:webHidden/>
            <w:sz w:val="20"/>
            <w:szCs w:val="20"/>
          </w:rPr>
          <w:t>13</w:t>
        </w:r>
        <w:r w:rsidR="00C77F4E" w:rsidRPr="00DE6F85">
          <w:rPr>
            <w:rFonts w:ascii="Helvetica" w:hAnsi="Helvetica"/>
            <w:noProof/>
            <w:webHidden/>
            <w:sz w:val="20"/>
            <w:szCs w:val="20"/>
          </w:rPr>
          <w:fldChar w:fldCharType="end"/>
        </w:r>
      </w:hyperlink>
    </w:p>
    <w:p w14:paraId="63F78CC9" w14:textId="77777777" w:rsidR="00C77F4E" w:rsidRPr="00DE6F85" w:rsidRDefault="009F36C5">
      <w:pPr>
        <w:pStyle w:val="TOC2"/>
        <w:rPr>
          <w:rFonts w:ascii="Helvetica" w:eastAsiaTheme="minorEastAsia" w:hAnsi="Helvetica" w:cstheme="minorBidi"/>
          <w:noProof/>
          <w:sz w:val="20"/>
          <w:szCs w:val="20"/>
        </w:rPr>
      </w:pPr>
      <w:hyperlink w:anchor="_Toc462758527" w:history="1">
        <w:r w:rsidR="00C77F4E" w:rsidRPr="00DE6F85">
          <w:rPr>
            <w:rStyle w:val="Hyperlink"/>
            <w:rFonts w:ascii="Helvetica" w:hAnsi="Helvetica" w:cs="Arial"/>
            <w:noProof/>
            <w:sz w:val="20"/>
            <w:szCs w:val="20"/>
          </w:rPr>
          <w:t>I.2.2 Physical Resources:</w:t>
        </w:r>
        <w:r w:rsidR="00C77F4E" w:rsidRPr="00DE6F85">
          <w:rPr>
            <w:rFonts w:ascii="Helvetica" w:hAnsi="Helvetica"/>
            <w:noProof/>
            <w:webHidden/>
            <w:sz w:val="20"/>
            <w:szCs w:val="20"/>
          </w:rPr>
          <w:tab/>
        </w:r>
        <w:r w:rsidR="00C77F4E" w:rsidRPr="00DE6F85">
          <w:rPr>
            <w:rFonts w:ascii="Helvetica" w:hAnsi="Helvetica"/>
            <w:noProof/>
            <w:webHidden/>
            <w:sz w:val="20"/>
            <w:szCs w:val="20"/>
          </w:rPr>
          <w:fldChar w:fldCharType="begin"/>
        </w:r>
        <w:r w:rsidR="00C77F4E" w:rsidRPr="00DE6F85">
          <w:rPr>
            <w:rFonts w:ascii="Helvetica" w:hAnsi="Helvetica"/>
            <w:noProof/>
            <w:webHidden/>
            <w:sz w:val="20"/>
            <w:szCs w:val="20"/>
          </w:rPr>
          <w:instrText xml:space="preserve"> PAGEREF _Toc462758527 \h </w:instrText>
        </w:r>
        <w:r w:rsidR="00C77F4E" w:rsidRPr="00DE6F85">
          <w:rPr>
            <w:rFonts w:ascii="Helvetica" w:hAnsi="Helvetica"/>
            <w:noProof/>
            <w:webHidden/>
            <w:sz w:val="20"/>
            <w:szCs w:val="20"/>
          </w:rPr>
        </w:r>
        <w:r w:rsidR="00C77F4E" w:rsidRPr="00DE6F85">
          <w:rPr>
            <w:rFonts w:ascii="Helvetica" w:hAnsi="Helvetica"/>
            <w:noProof/>
            <w:webHidden/>
            <w:sz w:val="20"/>
            <w:szCs w:val="20"/>
          </w:rPr>
          <w:fldChar w:fldCharType="separate"/>
        </w:r>
        <w:r w:rsidR="00DE6F85">
          <w:rPr>
            <w:rFonts w:ascii="Helvetica" w:hAnsi="Helvetica"/>
            <w:noProof/>
            <w:webHidden/>
            <w:sz w:val="20"/>
            <w:szCs w:val="20"/>
          </w:rPr>
          <w:t>13</w:t>
        </w:r>
        <w:r w:rsidR="00C77F4E" w:rsidRPr="00DE6F85">
          <w:rPr>
            <w:rFonts w:ascii="Helvetica" w:hAnsi="Helvetica"/>
            <w:noProof/>
            <w:webHidden/>
            <w:sz w:val="20"/>
            <w:szCs w:val="20"/>
          </w:rPr>
          <w:fldChar w:fldCharType="end"/>
        </w:r>
      </w:hyperlink>
    </w:p>
    <w:p w14:paraId="2AE0E6FE" w14:textId="77777777" w:rsidR="00C77F4E" w:rsidRPr="00DE6F85" w:rsidRDefault="009F36C5">
      <w:pPr>
        <w:pStyle w:val="TOC2"/>
        <w:rPr>
          <w:rFonts w:ascii="Helvetica" w:eastAsiaTheme="minorEastAsia" w:hAnsi="Helvetica" w:cstheme="minorBidi"/>
          <w:noProof/>
          <w:sz w:val="20"/>
          <w:szCs w:val="20"/>
        </w:rPr>
      </w:pPr>
      <w:hyperlink w:anchor="_Toc462758528" w:history="1">
        <w:r w:rsidR="00C77F4E" w:rsidRPr="00DE6F85">
          <w:rPr>
            <w:rStyle w:val="Hyperlink"/>
            <w:rFonts w:ascii="Helvetica" w:hAnsi="Helvetica" w:cs="Arial"/>
            <w:noProof/>
            <w:sz w:val="20"/>
            <w:szCs w:val="20"/>
          </w:rPr>
          <w:t>I.2.3 Financial Resources</w:t>
        </w:r>
        <w:r w:rsidR="00C77F4E" w:rsidRPr="00DE6F85">
          <w:rPr>
            <w:rFonts w:ascii="Helvetica" w:hAnsi="Helvetica"/>
            <w:noProof/>
            <w:webHidden/>
            <w:sz w:val="20"/>
            <w:szCs w:val="20"/>
          </w:rPr>
          <w:tab/>
        </w:r>
        <w:r w:rsidR="00C77F4E" w:rsidRPr="00DE6F85">
          <w:rPr>
            <w:rFonts w:ascii="Helvetica" w:hAnsi="Helvetica"/>
            <w:noProof/>
            <w:webHidden/>
            <w:sz w:val="20"/>
            <w:szCs w:val="20"/>
          </w:rPr>
          <w:fldChar w:fldCharType="begin"/>
        </w:r>
        <w:r w:rsidR="00C77F4E" w:rsidRPr="00DE6F85">
          <w:rPr>
            <w:rFonts w:ascii="Helvetica" w:hAnsi="Helvetica"/>
            <w:noProof/>
            <w:webHidden/>
            <w:sz w:val="20"/>
            <w:szCs w:val="20"/>
          </w:rPr>
          <w:instrText xml:space="preserve"> PAGEREF _Toc462758528 \h </w:instrText>
        </w:r>
        <w:r w:rsidR="00C77F4E" w:rsidRPr="00DE6F85">
          <w:rPr>
            <w:rFonts w:ascii="Helvetica" w:hAnsi="Helvetica"/>
            <w:noProof/>
            <w:webHidden/>
            <w:sz w:val="20"/>
            <w:szCs w:val="20"/>
          </w:rPr>
        </w:r>
        <w:r w:rsidR="00C77F4E" w:rsidRPr="00DE6F85">
          <w:rPr>
            <w:rFonts w:ascii="Helvetica" w:hAnsi="Helvetica"/>
            <w:noProof/>
            <w:webHidden/>
            <w:sz w:val="20"/>
            <w:szCs w:val="20"/>
          </w:rPr>
          <w:fldChar w:fldCharType="separate"/>
        </w:r>
        <w:r w:rsidR="00DE6F85">
          <w:rPr>
            <w:rFonts w:ascii="Helvetica" w:hAnsi="Helvetica"/>
            <w:noProof/>
            <w:webHidden/>
            <w:sz w:val="20"/>
            <w:szCs w:val="20"/>
          </w:rPr>
          <w:t>14</w:t>
        </w:r>
        <w:r w:rsidR="00C77F4E" w:rsidRPr="00DE6F85">
          <w:rPr>
            <w:rFonts w:ascii="Helvetica" w:hAnsi="Helvetica"/>
            <w:noProof/>
            <w:webHidden/>
            <w:sz w:val="20"/>
            <w:szCs w:val="20"/>
          </w:rPr>
          <w:fldChar w:fldCharType="end"/>
        </w:r>
      </w:hyperlink>
    </w:p>
    <w:p w14:paraId="110A6E4D" w14:textId="77777777" w:rsidR="00C77F4E" w:rsidRPr="00DE6F85" w:rsidRDefault="009F36C5">
      <w:pPr>
        <w:pStyle w:val="TOC2"/>
        <w:rPr>
          <w:rFonts w:ascii="Helvetica" w:eastAsiaTheme="minorEastAsia" w:hAnsi="Helvetica" w:cstheme="minorBidi"/>
          <w:noProof/>
          <w:sz w:val="20"/>
          <w:szCs w:val="20"/>
        </w:rPr>
      </w:pPr>
      <w:hyperlink w:anchor="_Toc462758529" w:history="1">
        <w:r w:rsidR="00C77F4E" w:rsidRPr="00DE6F85">
          <w:rPr>
            <w:rStyle w:val="Hyperlink"/>
            <w:rFonts w:ascii="Helvetica" w:hAnsi="Helvetica" w:cs="Arial"/>
            <w:noProof/>
            <w:sz w:val="20"/>
            <w:szCs w:val="20"/>
          </w:rPr>
          <w:t>I.2.4 Information Resources:</w:t>
        </w:r>
        <w:r w:rsidR="00C77F4E" w:rsidRPr="00DE6F85">
          <w:rPr>
            <w:rFonts w:ascii="Helvetica" w:hAnsi="Helvetica"/>
            <w:noProof/>
            <w:webHidden/>
            <w:sz w:val="20"/>
            <w:szCs w:val="20"/>
          </w:rPr>
          <w:tab/>
        </w:r>
        <w:r w:rsidR="00C77F4E" w:rsidRPr="00DE6F85">
          <w:rPr>
            <w:rFonts w:ascii="Helvetica" w:hAnsi="Helvetica"/>
            <w:noProof/>
            <w:webHidden/>
            <w:sz w:val="20"/>
            <w:szCs w:val="20"/>
          </w:rPr>
          <w:fldChar w:fldCharType="begin"/>
        </w:r>
        <w:r w:rsidR="00C77F4E" w:rsidRPr="00DE6F85">
          <w:rPr>
            <w:rFonts w:ascii="Helvetica" w:hAnsi="Helvetica"/>
            <w:noProof/>
            <w:webHidden/>
            <w:sz w:val="20"/>
            <w:szCs w:val="20"/>
          </w:rPr>
          <w:instrText xml:space="preserve"> PAGEREF _Toc462758529 \h </w:instrText>
        </w:r>
        <w:r w:rsidR="00C77F4E" w:rsidRPr="00DE6F85">
          <w:rPr>
            <w:rFonts w:ascii="Helvetica" w:hAnsi="Helvetica"/>
            <w:noProof/>
            <w:webHidden/>
            <w:sz w:val="20"/>
            <w:szCs w:val="20"/>
          </w:rPr>
        </w:r>
        <w:r w:rsidR="00C77F4E" w:rsidRPr="00DE6F85">
          <w:rPr>
            <w:rFonts w:ascii="Helvetica" w:hAnsi="Helvetica"/>
            <w:noProof/>
            <w:webHidden/>
            <w:sz w:val="20"/>
            <w:szCs w:val="20"/>
          </w:rPr>
          <w:fldChar w:fldCharType="separate"/>
        </w:r>
        <w:r w:rsidR="00DE6F85">
          <w:rPr>
            <w:rFonts w:ascii="Helvetica" w:hAnsi="Helvetica"/>
            <w:noProof/>
            <w:webHidden/>
            <w:sz w:val="20"/>
            <w:szCs w:val="20"/>
          </w:rPr>
          <w:t>14</w:t>
        </w:r>
        <w:r w:rsidR="00C77F4E" w:rsidRPr="00DE6F85">
          <w:rPr>
            <w:rFonts w:ascii="Helvetica" w:hAnsi="Helvetica"/>
            <w:noProof/>
            <w:webHidden/>
            <w:sz w:val="20"/>
            <w:szCs w:val="20"/>
          </w:rPr>
          <w:fldChar w:fldCharType="end"/>
        </w:r>
      </w:hyperlink>
    </w:p>
    <w:p w14:paraId="58363326" w14:textId="77777777" w:rsidR="00C77F4E" w:rsidRPr="00DE6F85" w:rsidRDefault="009F36C5">
      <w:pPr>
        <w:pStyle w:val="TOC2"/>
        <w:rPr>
          <w:rFonts w:ascii="Helvetica" w:eastAsiaTheme="minorEastAsia" w:hAnsi="Helvetica" w:cstheme="minorBidi"/>
          <w:noProof/>
          <w:sz w:val="20"/>
          <w:szCs w:val="20"/>
        </w:rPr>
      </w:pPr>
      <w:hyperlink w:anchor="_Toc462758530" w:history="1">
        <w:r w:rsidR="00C77F4E" w:rsidRPr="00DE6F85">
          <w:rPr>
            <w:rStyle w:val="Hyperlink"/>
            <w:rFonts w:ascii="Helvetica" w:hAnsi="Helvetica" w:cs="Arial"/>
            <w:noProof/>
            <w:sz w:val="20"/>
            <w:szCs w:val="20"/>
          </w:rPr>
          <w:t>I.2.5 Administrative Structure &amp; Governance:</w:t>
        </w:r>
        <w:r w:rsidR="00C77F4E" w:rsidRPr="00DE6F85">
          <w:rPr>
            <w:rFonts w:ascii="Helvetica" w:hAnsi="Helvetica"/>
            <w:noProof/>
            <w:webHidden/>
            <w:sz w:val="20"/>
            <w:szCs w:val="20"/>
          </w:rPr>
          <w:tab/>
        </w:r>
        <w:r w:rsidR="00C77F4E" w:rsidRPr="00DE6F85">
          <w:rPr>
            <w:rFonts w:ascii="Helvetica" w:hAnsi="Helvetica"/>
            <w:noProof/>
            <w:webHidden/>
            <w:sz w:val="20"/>
            <w:szCs w:val="20"/>
          </w:rPr>
          <w:fldChar w:fldCharType="begin"/>
        </w:r>
        <w:r w:rsidR="00C77F4E" w:rsidRPr="00DE6F85">
          <w:rPr>
            <w:rFonts w:ascii="Helvetica" w:hAnsi="Helvetica"/>
            <w:noProof/>
            <w:webHidden/>
            <w:sz w:val="20"/>
            <w:szCs w:val="20"/>
          </w:rPr>
          <w:instrText xml:space="preserve"> PAGEREF _Toc462758530 \h </w:instrText>
        </w:r>
        <w:r w:rsidR="00C77F4E" w:rsidRPr="00DE6F85">
          <w:rPr>
            <w:rFonts w:ascii="Helvetica" w:hAnsi="Helvetica"/>
            <w:noProof/>
            <w:webHidden/>
            <w:sz w:val="20"/>
            <w:szCs w:val="20"/>
          </w:rPr>
        </w:r>
        <w:r w:rsidR="00C77F4E" w:rsidRPr="00DE6F85">
          <w:rPr>
            <w:rFonts w:ascii="Helvetica" w:hAnsi="Helvetica"/>
            <w:noProof/>
            <w:webHidden/>
            <w:sz w:val="20"/>
            <w:szCs w:val="20"/>
          </w:rPr>
          <w:fldChar w:fldCharType="separate"/>
        </w:r>
        <w:r w:rsidR="00DE6F85">
          <w:rPr>
            <w:rFonts w:ascii="Helvetica" w:hAnsi="Helvetica"/>
            <w:noProof/>
            <w:webHidden/>
            <w:sz w:val="20"/>
            <w:szCs w:val="20"/>
          </w:rPr>
          <w:t>15</w:t>
        </w:r>
        <w:r w:rsidR="00C77F4E" w:rsidRPr="00DE6F85">
          <w:rPr>
            <w:rFonts w:ascii="Helvetica" w:hAnsi="Helvetica"/>
            <w:noProof/>
            <w:webHidden/>
            <w:sz w:val="20"/>
            <w:szCs w:val="20"/>
          </w:rPr>
          <w:fldChar w:fldCharType="end"/>
        </w:r>
      </w:hyperlink>
    </w:p>
    <w:p w14:paraId="325514F8" w14:textId="77777777" w:rsidR="00C77F4E" w:rsidRPr="00DE6F85" w:rsidRDefault="009F36C5">
      <w:pPr>
        <w:pStyle w:val="TOC2"/>
        <w:rPr>
          <w:rFonts w:ascii="Helvetica" w:eastAsiaTheme="minorEastAsia" w:hAnsi="Helvetica" w:cstheme="minorBidi"/>
          <w:noProof/>
          <w:sz w:val="20"/>
          <w:szCs w:val="20"/>
        </w:rPr>
      </w:pPr>
      <w:hyperlink w:anchor="_Toc462758531" w:history="1">
        <w:r w:rsidR="00C77F4E" w:rsidRPr="00DE6F85">
          <w:rPr>
            <w:rStyle w:val="Hyperlink"/>
            <w:rFonts w:ascii="Helvetica" w:hAnsi="Helvetica" w:cs="Arial"/>
            <w:noProof/>
            <w:sz w:val="20"/>
            <w:szCs w:val="20"/>
          </w:rPr>
          <w:t>II.1.1 Student Performance Criteria:</w:t>
        </w:r>
        <w:r w:rsidR="00C77F4E" w:rsidRPr="00DE6F85">
          <w:rPr>
            <w:rFonts w:ascii="Helvetica" w:hAnsi="Helvetica"/>
            <w:noProof/>
            <w:webHidden/>
            <w:sz w:val="20"/>
            <w:szCs w:val="20"/>
          </w:rPr>
          <w:tab/>
        </w:r>
        <w:r w:rsidR="00C77F4E" w:rsidRPr="00DE6F85">
          <w:rPr>
            <w:rFonts w:ascii="Helvetica" w:hAnsi="Helvetica"/>
            <w:noProof/>
            <w:webHidden/>
            <w:sz w:val="20"/>
            <w:szCs w:val="20"/>
          </w:rPr>
          <w:fldChar w:fldCharType="begin"/>
        </w:r>
        <w:r w:rsidR="00C77F4E" w:rsidRPr="00DE6F85">
          <w:rPr>
            <w:rFonts w:ascii="Helvetica" w:hAnsi="Helvetica"/>
            <w:noProof/>
            <w:webHidden/>
            <w:sz w:val="20"/>
            <w:szCs w:val="20"/>
          </w:rPr>
          <w:instrText xml:space="preserve"> PAGEREF _Toc462758531 \h </w:instrText>
        </w:r>
        <w:r w:rsidR="00C77F4E" w:rsidRPr="00DE6F85">
          <w:rPr>
            <w:rFonts w:ascii="Helvetica" w:hAnsi="Helvetica"/>
            <w:noProof/>
            <w:webHidden/>
            <w:sz w:val="20"/>
            <w:szCs w:val="20"/>
          </w:rPr>
        </w:r>
        <w:r w:rsidR="00C77F4E" w:rsidRPr="00DE6F85">
          <w:rPr>
            <w:rFonts w:ascii="Helvetica" w:hAnsi="Helvetica"/>
            <w:noProof/>
            <w:webHidden/>
            <w:sz w:val="20"/>
            <w:szCs w:val="20"/>
          </w:rPr>
          <w:fldChar w:fldCharType="separate"/>
        </w:r>
        <w:r w:rsidR="00DE6F85">
          <w:rPr>
            <w:rFonts w:ascii="Helvetica" w:hAnsi="Helvetica"/>
            <w:noProof/>
            <w:webHidden/>
            <w:sz w:val="20"/>
            <w:szCs w:val="20"/>
          </w:rPr>
          <w:t>15</w:t>
        </w:r>
        <w:r w:rsidR="00C77F4E" w:rsidRPr="00DE6F85">
          <w:rPr>
            <w:rFonts w:ascii="Helvetica" w:hAnsi="Helvetica"/>
            <w:noProof/>
            <w:webHidden/>
            <w:sz w:val="20"/>
            <w:szCs w:val="20"/>
          </w:rPr>
          <w:fldChar w:fldCharType="end"/>
        </w:r>
      </w:hyperlink>
    </w:p>
    <w:p w14:paraId="0512319C" w14:textId="77777777" w:rsidR="00C77F4E" w:rsidRPr="00DE6F85" w:rsidRDefault="009F36C5">
      <w:pPr>
        <w:pStyle w:val="TOC2"/>
        <w:rPr>
          <w:rFonts w:ascii="Helvetica" w:eastAsiaTheme="minorEastAsia" w:hAnsi="Helvetica" w:cstheme="minorBidi"/>
          <w:noProof/>
          <w:sz w:val="20"/>
          <w:szCs w:val="20"/>
        </w:rPr>
      </w:pPr>
      <w:hyperlink w:anchor="_Toc462758532" w:history="1">
        <w:r w:rsidR="00C77F4E" w:rsidRPr="00DE6F85">
          <w:rPr>
            <w:rStyle w:val="Hyperlink"/>
            <w:rFonts w:ascii="Helvetica" w:hAnsi="Helvetica"/>
            <w:noProof/>
            <w:sz w:val="20"/>
            <w:szCs w:val="20"/>
          </w:rPr>
          <w:t>II.2.1 Institutional Accreditation:</w:t>
        </w:r>
        <w:r w:rsidR="00C77F4E" w:rsidRPr="00DE6F85">
          <w:rPr>
            <w:rFonts w:ascii="Helvetica" w:hAnsi="Helvetica"/>
            <w:noProof/>
            <w:webHidden/>
            <w:sz w:val="20"/>
            <w:szCs w:val="20"/>
          </w:rPr>
          <w:tab/>
        </w:r>
        <w:r w:rsidR="00C77F4E" w:rsidRPr="00DE6F85">
          <w:rPr>
            <w:rFonts w:ascii="Helvetica" w:hAnsi="Helvetica"/>
            <w:noProof/>
            <w:webHidden/>
            <w:sz w:val="20"/>
            <w:szCs w:val="20"/>
          </w:rPr>
          <w:fldChar w:fldCharType="begin"/>
        </w:r>
        <w:r w:rsidR="00C77F4E" w:rsidRPr="00DE6F85">
          <w:rPr>
            <w:rFonts w:ascii="Helvetica" w:hAnsi="Helvetica"/>
            <w:noProof/>
            <w:webHidden/>
            <w:sz w:val="20"/>
            <w:szCs w:val="20"/>
          </w:rPr>
          <w:instrText xml:space="preserve"> PAGEREF _Toc462758532 \h </w:instrText>
        </w:r>
        <w:r w:rsidR="00C77F4E" w:rsidRPr="00DE6F85">
          <w:rPr>
            <w:rFonts w:ascii="Helvetica" w:hAnsi="Helvetica"/>
            <w:noProof/>
            <w:webHidden/>
            <w:sz w:val="20"/>
            <w:szCs w:val="20"/>
          </w:rPr>
        </w:r>
        <w:r w:rsidR="00C77F4E" w:rsidRPr="00DE6F85">
          <w:rPr>
            <w:rFonts w:ascii="Helvetica" w:hAnsi="Helvetica"/>
            <w:noProof/>
            <w:webHidden/>
            <w:sz w:val="20"/>
            <w:szCs w:val="20"/>
          </w:rPr>
          <w:fldChar w:fldCharType="separate"/>
        </w:r>
        <w:r w:rsidR="00DE6F85">
          <w:rPr>
            <w:rFonts w:ascii="Helvetica" w:hAnsi="Helvetica"/>
            <w:noProof/>
            <w:webHidden/>
            <w:sz w:val="20"/>
            <w:szCs w:val="20"/>
          </w:rPr>
          <w:t>16</w:t>
        </w:r>
        <w:r w:rsidR="00C77F4E" w:rsidRPr="00DE6F85">
          <w:rPr>
            <w:rFonts w:ascii="Helvetica" w:hAnsi="Helvetica"/>
            <w:noProof/>
            <w:webHidden/>
            <w:sz w:val="20"/>
            <w:szCs w:val="20"/>
          </w:rPr>
          <w:fldChar w:fldCharType="end"/>
        </w:r>
      </w:hyperlink>
    </w:p>
    <w:p w14:paraId="2605D409" w14:textId="77777777" w:rsidR="00C77F4E" w:rsidRPr="00DE6F85" w:rsidRDefault="009F36C5">
      <w:pPr>
        <w:pStyle w:val="TOC2"/>
        <w:rPr>
          <w:rFonts w:ascii="Helvetica" w:eastAsiaTheme="minorEastAsia" w:hAnsi="Helvetica" w:cstheme="minorBidi"/>
          <w:noProof/>
          <w:sz w:val="20"/>
          <w:szCs w:val="20"/>
        </w:rPr>
      </w:pPr>
      <w:hyperlink w:anchor="_Toc462758533" w:history="1">
        <w:r w:rsidR="00C77F4E" w:rsidRPr="00DE6F85">
          <w:rPr>
            <w:rStyle w:val="Hyperlink"/>
            <w:rFonts w:ascii="Helvetica" w:hAnsi="Helvetica"/>
            <w:noProof/>
            <w:sz w:val="20"/>
            <w:szCs w:val="20"/>
          </w:rPr>
          <w:t>II.2.2 Professional Degrees and Curriculum:</w:t>
        </w:r>
        <w:r w:rsidR="00C77F4E" w:rsidRPr="00DE6F85">
          <w:rPr>
            <w:rFonts w:ascii="Helvetica" w:hAnsi="Helvetica"/>
            <w:noProof/>
            <w:webHidden/>
            <w:sz w:val="20"/>
            <w:szCs w:val="20"/>
          </w:rPr>
          <w:tab/>
        </w:r>
        <w:r w:rsidR="00C77F4E" w:rsidRPr="00DE6F85">
          <w:rPr>
            <w:rFonts w:ascii="Helvetica" w:hAnsi="Helvetica"/>
            <w:noProof/>
            <w:webHidden/>
            <w:sz w:val="20"/>
            <w:szCs w:val="20"/>
          </w:rPr>
          <w:fldChar w:fldCharType="begin"/>
        </w:r>
        <w:r w:rsidR="00C77F4E" w:rsidRPr="00DE6F85">
          <w:rPr>
            <w:rFonts w:ascii="Helvetica" w:hAnsi="Helvetica"/>
            <w:noProof/>
            <w:webHidden/>
            <w:sz w:val="20"/>
            <w:szCs w:val="20"/>
          </w:rPr>
          <w:instrText xml:space="preserve"> PAGEREF _Toc462758533 \h </w:instrText>
        </w:r>
        <w:r w:rsidR="00C77F4E" w:rsidRPr="00DE6F85">
          <w:rPr>
            <w:rFonts w:ascii="Helvetica" w:hAnsi="Helvetica"/>
            <w:noProof/>
            <w:webHidden/>
            <w:sz w:val="20"/>
            <w:szCs w:val="20"/>
          </w:rPr>
        </w:r>
        <w:r w:rsidR="00C77F4E" w:rsidRPr="00DE6F85">
          <w:rPr>
            <w:rFonts w:ascii="Helvetica" w:hAnsi="Helvetica"/>
            <w:noProof/>
            <w:webHidden/>
            <w:sz w:val="20"/>
            <w:szCs w:val="20"/>
          </w:rPr>
          <w:fldChar w:fldCharType="separate"/>
        </w:r>
        <w:r w:rsidR="00DE6F85">
          <w:rPr>
            <w:rFonts w:ascii="Helvetica" w:hAnsi="Helvetica"/>
            <w:noProof/>
            <w:webHidden/>
            <w:sz w:val="20"/>
            <w:szCs w:val="20"/>
          </w:rPr>
          <w:t>16</w:t>
        </w:r>
        <w:r w:rsidR="00C77F4E" w:rsidRPr="00DE6F85">
          <w:rPr>
            <w:rFonts w:ascii="Helvetica" w:hAnsi="Helvetica"/>
            <w:noProof/>
            <w:webHidden/>
            <w:sz w:val="20"/>
            <w:szCs w:val="20"/>
          </w:rPr>
          <w:fldChar w:fldCharType="end"/>
        </w:r>
      </w:hyperlink>
    </w:p>
    <w:p w14:paraId="48A4371C" w14:textId="77777777" w:rsidR="00C77F4E" w:rsidRPr="00DE6F85" w:rsidRDefault="009F36C5">
      <w:pPr>
        <w:pStyle w:val="TOC1"/>
        <w:rPr>
          <w:rFonts w:ascii="Helvetica" w:eastAsiaTheme="minorEastAsia" w:hAnsi="Helvetica" w:cstheme="minorBidi"/>
          <w:noProof/>
          <w:sz w:val="20"/>
          <w:szCs w:val="20"/>
        </w:rPr>
      </w:pPr>
      <w:hyperlink w:anchor="_Toc462758534" w:history="1">
        <w:r w:rsidR="00C77F4E" w:rsidRPr="00DE6F85">
          <w:rPr>
            <w:rStyle w:val="Hyperlink"/>
            <w:rFonts w:ascii="Helvetica" w:hAnsi="Helvetica" w:cs="Arial"/>
            <w:noProof/>
            <w:sz w:val="20"/>
            <w:szCs w:val="20"/>
          </w:rPr>
          <w:t>Part Two (II): Section 3 – Evaluation of Preparatory Education</w:t>
        </w:r>
        <w:r w:rsidR="00C77F4E" w:rsidRPr="00DE6F85">
          <w:rPr>
            <w:rFonts w:ascii="Helvetica" w:hAnsi="Helvetica"/>
            <w:noProof/>
            <w:webHidden/>
            <w:sz w:val="20"/>
            <w:szCs w:val="20"/>
          </w:rPr>
          <w:tab/>
        </w:r>
        <w:r w:rsidR="00C77F4E" w:rsidRPr="00DE6F85">
          <w:rPr>
            <w:rFonts w:ascii="Helvetica" w:hAnsi="Helvetica"/>
            <w:noProof/>
            <w:webHidden/>
            <w:sz w:val="20"/>
            <w:szCs w:val="20"/>
          </w:rPr>
          <w:fldChar w:fldCharType="begin"/>
        </w:r>
        <w:r w:rsidR="00C77F4E" w:rsidRPr="00DE6F85">
          <w:rPr>
            <w:rFonts w:ascii="Helvetica" w:hAnsi="Helvetica"/>
            <w:noProof/>
            <w:webHidden/>
            <w:sz w:val="20"/>
            <w:szCs w:val="20"/>
          </w:rPr>
          <w:instrText xml:space="preserve"> PAGEREF _Toc462758534 \h </w:instrText>
        </w:r>
        <w:r w:rsidR="00C77F4E" w:rsidRPr="00DE6F85">
          <w:rPr>
            <w:rFonts w:ascii="Helvetica" w:hAnsi="Helvetica"/>
            <w:noProof/>
            <w:webHidden/>
            <w:sz w:val="20"/>
            <w:szCs w:val="20"/>
          </w:rPr>
        </w:r>
        <w:r w:rsidR="00C77F4E" w:rsidRPr="00DE6F85">
          <w:rPr>
            <w:rFonts w:ascii="Helvetica" w:hAnsi="Helvetica"/>
            <w:noProof/>
            <w:webHidden/>
            <w:sz w:val="20"/>
            <w:szCs w:val="20"/>
          </w:rPr>
          <w:fldChar w:fldCharType="separate"/>
        </w:r>
        <w:r w:rsidR="00DE6F85">
          <w:rPr>
            <w:rFonts w:ascii="Helvetica" w:hAnsi="Helvetica"/>
            <w:noProof/>
            <w:webHidden/>
            <w:sz w:val="20"/>
            <w:szCs w:val="20"/>
          </w:rPr>
          <w:t>17</w:t>
        </w:r>
        <w:r w:rsidR="00C77F4E" w:rsidRPr="00DE6F85">
          <w:rPr>
            <w:rFonts w:ascii="Helvetica" w:hAnsi="Helvetica"/>
            <w:noProof/>
            <w:webHidden/>
            <w:sz w:val="20"/>
            <w:szCs w:val="20"/>
          </w:rPr>
          <w:fldChar w:fldCharType="end"/>
        </w:r>
      </w:hyperlink>
    </w:p>
    <w:p w14:paraId="5EE2FED8" w14:textId="77777777" w:rsidR="00C77F4E" w:rsidRPr="00DE6F85" w:rsidRDefault="009F36C5">
      <w:pPr>
        <w:pStyle w:val="TOC1"/>
        <w:rPr>
          <w:rFonts w:ascii="Helvetica" w:eastAsiaTheme="minorEastAsia" w:hAnsi="Helvetica" w:cstheme="minorBidi"/>
          <w:noProof/>
          <w:sz w:val="20"/>
          <w:szCs w:val="20"/>
        </w:rPr>
      </w:pPr>
      <w:hyperlink w:anchor="_Toc462758535" w:history="1">
        <w:r w:rsidR="00C77F4E" w:rsidRPr="00DE6F85">
          <w:rPr>
            <w:rStyle w:val="Hyperlink"/>
            <w:rFonts w:ascii="Helvetica" w:hAnsi="Helvetica" w:cs="Arial"/>
            <w:noProof/>
            <w:sz w:val="20"/>
            <w:szCs w:val="20"/>
          </w:rPr>
          <w:t>Part Two (II): Section 4 – Public Information</w:t>
        </w:r>
        <w:r w:rsidR="00C77F4E" w:rsidRPr="00DE6F85">
          <w:rPr>
            <w:rFonts w:ascii="Helvetica" w:hAnsi="Helvetica"/>
            <w:noProof/>
            <w:webHidden/>
            <w:sz w:val="20"/>
            <w:szCs w:val="20"/>
          </w:rPr>
          <w:tab/>
        </w:r>
        <w:r w:rsidR="00C77F4E" w:rsidRPr="00DE6F85">
          <w:rPr>
            <w:rFonts w:ascii="Helvetica" w:hAnsi="Helvetica"/>
            <w:noProof/>
            <w:webHidden/>
            <w:sz w:val="20"/>
            <w:szCs w:val="20"/>
          </w:rPr>
          <w:fldChar w:fldCharType="begin"/>
        </w:r>
        <w:r w:rsidR="00C77F4E" w:rsidRPr="00DE6F85">
          <w:rPr>
            <w:rFonts w:ascii="Helvetica" w:hAnsi="Helvetica"/>
            <w:noProof/>
            <w:webHidden/>
            <w:sz w:val="20"/>
            <w:szCs w:val="20"/>
          </w:rPr>
          <w:instrText xml:space="preserve"> PAGEREF _Toc462758535 \h </w:instrText>
        </w:r>
        <w:r w:rsidR="00C77F4E" w:rsidRPr="00DE6F85">
          <w:rPr>
            <w:rFonts w:ascii="Helvetica" w:hAnsi="Helvetica"/>
            <w:noProof/>
            <w:webHidden/>
            <w:sz w:val="20"/>
            <w:szCs w:val="20"/>
          </w:rPr>
        </w:r>
        <w:r w:rsidR="00C77F4E" w:rsidRPr="00DE6F85">
          <w:rPr>
            <w:rFonts w:ascii="Helvetica" w:hAnsi="Helvetica"/>
            <w:noProof/>
            <w:webHidden/>
            <w:sz w:val="20"/>
            <w:szCs w:val="20"/>
          </w:rPr>
          <w:fldChar w:fldCharType="separate"/>
        </w:r>
        <w:r w:rsidR="00DE6F85">
          <w:rPr>
            <w:rFonts w:ascii="Helvetica" w:hAnsi="Helvetica"/>
            <w:noProof/>
            <w:webHidden/>
            <w:sz w:val="20"/>
            <w:szCs w:val="20"/>
          </w:rPr>
          <w:t>17</w:t>
        </w:r>
        <w:r w:rsidR="00C77F4E" w:rsidRPr="00DE6F85">
          <w:rPr>
            <w:rFonts w:ascii="Helvetica" w:hAnsi="Helvetica"/>
            <w:noProof/>
            <w:webHidden/>
            <w:sz w:val="20"/>
            <w:szCs w:val="20"/>
          </w:rPr>
          <w:fldChar w:fldCharType="end"/>
        </w:r>
      </w:hyperlink>
    </w:p>
    <w:p w14:paraId="45577DDC" w14:textId="77777777" w:rsidR="00C77F4E" w:rsidRPr="00DE6F85" w:rsidRDefault="009F36C5">
      <w:pPr>
        <w:pStyle w:val="TOC2"/>
        <w:rPr>
          <w:rFonts w:ascii="Helvetica" w:eastAsiaTheme="minorEastAsia" w:hAnsi="Helvetica" w:cstheme="minorBidi"/>
          <w:noProof/>
          <w:sz w:val="20"/>
          <w:szCs w:val="20"/>
        </w:rPr>
      </w:pPr>
      <w:hyperlink w:anchor="_Toc462758536" w:history="1">
        <w:r w:rsidR="00C77F4E" w:rsidRPr="00DE6F85">
          <w:rPr>
            <w:rStyle w:val="Hyperlink"/>
            <w:rFonts w:ascii="Helvetica" w:hAnsi="Helvetica" w:cs="Arial"/>
            <w:noProof/>
            <w:sz w:val="20"/>
            <w:szCs w:val="20"/>
          </w:rPr>
          <w:t>III.1.1 Annual Statistical Reports:</w:t>
        </w:r>
        <w:r w:rsidR="00C77F4E" w:rsidRPr="00DE6F85">
          <w:rPr>
            <w:rFonts w:ascii="Helvetica" w:hAnsi="Helvetica"/>
            <w:noProof/>
            <w:webHidden/>
            <w:sz w:val="20"/>
            <w:szCs w:val="20"/>
          </w:rPr>
          <w:tab/>
        </w:r>
        <w:r w:rsidR="00C77F4E" w:rsidRPr="00DE6F85">
          <w:rPr>
            <w:rFonts w:ascii="Helvetica" w:hAnsi="Helvetica"/>
            <w:noProof/>
            <w:webHidden/>
            <w:sz w:val="20"/>
            <w:szCs w:val="20"/>
          </w:rPr>
          <w:fldChar w:fldCharType="begin"/>
        </w:r>
        <w:r w:rsidR="00C77F4E" w:rsidRPr="00DE6F85">
          <w:rPr>
            <w:rFonts w:ascii="Helvetica" w:hAnsi="Helvetica"/>
            <w:noProof/>
            <w:webHidden/>
            <w:sz w:val="20"/>
            <w:szCs w:val="20"/>
          </w:rPr>
          <w:instrText xml:space="preserve"> PAGEREF _Toc462758536 \h </w:instrText>
        </w:r>
        <w:r w:rsidR="00C77F4E" w:rsidRPr="00DE6F85">
          <w:rPr>
            <w:rFonts w:ascii="Helvetica" w:hAnsi="Helvetica"/>
            <w:noProof/>
            <w:webHidden/>
            <w:sz w:val="20"/>
            <w:szCs w:val="20"/>
          </w:rPr>
        </w:r>
        <w:r w:rsidR="00C77F4E" w:rsidRPr="00DE6F85">
          <w:rPr>
            <w:rFonts w:ascii="Helvetica" w:hAnsi="Helvetica"/>
            <w:noProof/>
            <w:webHidden/>
            <w:sz w:val="20"/>
            <w:szCs w:val="20"/>
          </w:rPr>
          <w:fldChar w:fldCharType="separate"/>
        </w:r>
        <w:r w:rsidR="00DE6F85">
          <w:rPr>
            <w:rFonts w:ascii="Helvetica" w:hAnsi="Helvetica"/>
            <w:noProof/>
            <w:webHidden/>
            <w:sz w:val="20"/>
            <w:szCs w:val="20"/>
          </w:rPr>
          <w:t>17</w:t>
        </w:r>
        <w:r w:rsidR="00C77F4E" w:rsidRPr="00DE6F85">
          <w:rPr>
            <w:rFonts w:ascii="Helvetica" w:hAnsi="Helvetica"/>
            <w:noProof/>
            <w:webHidden/>
            <w:sz w:val="20"/>
            <w:szCs w:val="20"/>
          </w:rPr>
          <w:fldChar w:fldCharType="end"/>
        </w:r>
      </w:hyperlink>
    </w:p>
    <w:p w14:paraId="48842F26" w14:textId="77777777" w:rsidR="00C77F4E" w:rsidRPr="00DE6F85" w:rsidRDefault="009F36C5">
      <w:pPr>
        <w:pStyle w:val="TOC2"/>
        <w:rPr>
          <w:rFonts w:ascii="Helvetica" w:eastAsiaTheme="minorEastAsia" w:hAnsi="Helvetica" w:cstheme="minorBidi"/>
          <w:noProof/>
          <w:sz w:val="20"/>
          <w:szCs w:val="20"/>
        </w:rPr>
      </w:pPr>
      <w:hyperlink w:anchor="_Toc462758537" w:history="1">
        <w:r w:rsidR="00C77F4E" w:rsidRPr="00DE6F85">
          <w:rPr>
            <w:rStyle w:val="Hyperlink"/>
            <w:rFonts w:ascii="Helvetica" w:hAnsi="Helvetica" w:cs="Arial"/>
            <w:noProof/>
            <w:sz w:val="20"/>
            <w:szCs w:val="20"/>
          </w:rPr>
          <w:t>III.1.2 Interim Program Reports:</w:t>
        </w:r>
        <w:r w:rsidR="00C77F4E" w:rsidRPr="00DE6F85">
          <w:rPr>
            <w:rFonts w:ascii="Helvetica" w:hAnsi="Helvetica"/>
            <w:noProof/>
            <w:webHidden/>
            <w:sz w:val="20"/>
            <w:szCs w:val="20"/>
          </w:rPr>
          <w:tab/>
        </w:r>
        <w:r w:rsidR="00C77F4E" w:rsidRPr="00DE6F85">
          <w:rPr>
            <w:rFonts w:ascii="Helvetica" w:hAnsi="Helvetica"/>
            <w:noProof/>
            <w:webHidden/>
            <w:sz w:val="20"/>
            <w:szCs w:val="20"/>
          </w:rPr>
          <w:fldChar w:fldCharType="begin"/>
        </w:r>
        <w:r w:rsidR="00C77F4E" w:rsidRPr="00DE6F85">
          <w:rPr>
            <w:rFonts w:ascii="Helvetica" w:hAnsi="Helvetica"/>
            <w:noProof/>
            <w:webHidden/>
            <w:sz w:val="20"/>
            <w:szCs w:val="20"/>
          </w:rPr>
          <w:instrText xml:space="preserve"> PAGEREF _Toc462758537 \h </w:instrText>
        </w:r>
        <w:r w:rsidR="00C77F4E" w:rsidRPr="00DE6F85">
          <w:rPr>
            <w:rFonts w:ascii="Helvetica" w:hAnsi="Helvetica"/>
            <w:noProof/>
            <w:webHidden/>
            <w:sz w:val="20"/>
            <w:szCs w:val="20"/>
          </w:rPr>
        </w:r>
        <w:r w:rsidR="00C77F4E" w:rsidRPr="00DE6F85">
          <w:rPr>
            <w:rFonts w:ascii="Helvetica" w:hAnsi="Helvetica"/>
            <w:noProof/>
            <w:webHidden/>
            <w:sz w:val="20"/>
            <w:szCs w:val="20"/>
          </w:rPr>
          <w:fldChar w:fldCharType="separate"/>
        </w:r>
        <w:r w:rsidR="00DE6F85">
          <w:rPr>
            <w:rFonts w:ascii="Helvetica" w:hAnsi="Helvetica"/>
            <w:noProof/>
            <w:webHidden/>
            <w:sz w:val="20"/>
            <w:szCs w:val="20"/>
          </w:rPr>
          <w:t>17</w:t>
        </w:r>
        <w:r w:rsidR="00C77F4E" w:rsidRPr="00DE6F85">
          <w:rPr>
            <w:rFonts w:ascii="Helvetica" w:hAnsi="Helvetica"/>
            <w:noProof/>
            <w:webHidden/>
            <w:sz w:val="20"/>
            <w:szCs w:val="20"/>
          </w:rPr>
          <w:fldChar w:fldCharType="end"/>
        </w:r>
      </w:hyperlink>
    </w:p>
    <w:p w14:paraId="1211908F" w14:textId="77777777" w:rsidR="00C77F4E" w:rsidRPr="00DE6F85" w:rsidRDefault="009F36C5">
      <w:pPr>
        <w:pStyle w:val="TOC2"/>
        <w:rPr>
          <w:rFonts w:ascii="Helvetica" w:eastAsiaTheme="minorEastAsia" w:hAnsi="Helvetica" w:cstheme="minorBidi"/>
          <w:noProof/>
          <w:sz w:val="20"/>
          <w:szCs w:val="20"/>
        </w:rPr>
      </w:pPr>
      <w:hyperlink w:anchor="_Toc462758538" w:history="1">
        <w:r w:rsidR="00C77F4E" w:rsidRPr="00DE6F85">
          <w:rPr>
            <w:rStyle w:val="Hyperlink"/>
            <w:rFonts w:ascii="Helvetica" w:hAnsi="Helvetica" w:cs="Arial"/>
            <w:noProof/>
            <w:sz w:val="20"/>
            <w:szCs w:val="20"/>
          </w:rPr>
          <w:t>APR Section 4 – Supplemental Material</w:t>
        </w:r>
        <w:r w:rsidR="00C77F4E" w:rsidRPr="00DE6F85">
          <w:rPr>
            <w:rFonts w:ascii="Helvetica" w:hAnsi="Helvetica"/>
            <w:noProof/>
            <w:webHidden/>
            <w:sz w:val="20"/>
            <w:szCs w:val="20"/>
          </w:rPr>
          <w:tab/>
        </w:r>
        <w:r w:rsidR="00C77F4E" w:rsidRPr="00DE6F85">
          <w:rPr>
            <w:rFonts w:ascii="Helvetica" w:hAnsi="Helvetica"/>
            <w:noProof/>
            <w:webHidden/>
            <w:sz w:val="20"/>
            <w:szCs w:val="20"/>
          </w:rPr>
          <w:fldChar w:fldCharType="begin"/>
        </w:r>
        <w:r w:rsidR="00C77F4E" w:rsidRPr="00DE6F85">
          <w:rPr>
            <w:rFonts w:ascii="Helvetica" w:hAnsi="Helvetica"/>
            <w:noProof/>
            <w:webHidden/>
            <w:sz w:val="20"/>
            <w:szCs w:val="20"/>
          </w:rPr>
          <w:instrText xml:space="preserve"> PAGEREF _Toc462758538 \h </w:instrText>
        </w:r>
        <w:r w:rsidR="00C77F4E" w:rsidRPr="00DE6F85">
          <w:rPr>
            <w:rFonts w:ascii="Helvetica" w:hAnsi="Helvetica"/>
            <w:noProof/>
            <w:webHidden/>
            <w:sz w:val="20"/>
            <w:szCs w:val="20"/>
          </w:rPr>
        </w:r>
        <w:r w:rsidR="00C77F4E" w:rsidRPr="00DE6F85">
          <w:rPr>
            <w:rFonts w:ascii="Helvetica" w:hAnsi="Helvetica"/>
            <w:noProof/>
            <w:webHidden/>
            <w:sz w:val="20"/>
            <w:szCs w:val="20"/>
          </w:rPr>
          <w:fldChar w:fldCharType="separate"/>
        </w:r>
        <w:r w:rsidR="00DE6F85">
          <w:rPr>
            <w:rFonts w:ascii="Helvetica" w:hAnsi="Helvetica"/>
            <w:noProof/>
            <w:webHidden/>
            <w:sz w:val="20"/>
            <w:szCs w:val="20"/>
          </w:rPr>
          <w:t>17</w:t>
        </w:r>
        <w:r w:rsidR="00C77F4E" w:rsidRPr="00DE6F85">
          <w:rPr>
            <w:rFonts w:ascii="Helvetica" w:hAnsi="Helvetica"/>
            <w:noProof/>
            <w:webHidden/>
            <w:sz w:val="20"/>
            <w:szCs w:val="20"/>
          </w:rPr>
          <w:fldChar w:fldCharType="end"/>
        </w:r>
      </w:hyperlink>
    </w:p>
    <w:p w14:paraId="46E389ED" w14:textId="77777777" w:rsidR="00C77F4E" w:rsidRPr="00DE6F85" w:rsidRDefault="009F36C5">
      <w:pPr>
        <w:pStyle w:val="TOC1"/>
        <w:rPr>
          <w:rFonts w:ascii="Helvetica" w:eastAsiaTheme="minorEastAsia" w:hAnsi="Helvetica" w:cstheme="minorBidi"/>
          <w:noProof/>
          <w:sz w:val="20"/>
          <w:szCs w:val="20"/>
        </w:rPr>
      </w:pPr>
      <w:hyperlink w:anchor="_Toc462758539" w:history="1">
        <w:r w:rsidR="00C77F4E" w:rsidRPr="00DE6F85">
          <w:rPr>
            <w:rStyle w:val="Hyperlink"/>
            <w:rFonts w:ascii="Helvetica" w:hAnsi="Helvetica" w:cs="Arial"/>
            <w:noProof/>
            <w:sz w:val="20"/>
            <w:szCs w:val="20"/>
          </w:rPr>
          <w:t>A Brief History of Accreditation in Architecture Education</w:t>
        </w:r>
        <w:r w:rsidR="00C77F4E" w:rsidRPr="00DE6F85">
          <w:rPr>
            <w:rFonts w:ascii="Helvetica" w:hAnsi="Helvetica"/>
            <w:noProof/>
            <w:webHidden/>
            <w:sz w:val="20"/>
            <w:szCs w:val="20"/>
          </w:rPr>
          <w:tab/>
        </w:r>
        <w:r w:rsidR="00C77F4E" w:rsidRPr="00DE6F85">
          <w:rPr>
            <w:rFonts w:ascii="Helvetica" w:hAnsi="Helvetica"/>
            <w:noProof/>
            <w:webHidden/>
            <w:sz w:val="20"/>
            <w:szCs w:val="20"/>
          </w:rPr>
          <w:fldChar w:fldCharType="begin"/>
        </w:r>
        <w:r w:rsidR="00C77F4E" w:rsidRPr="00DE6F85">
          <w:rPr>
            <w:rFonts w:ascii="Helvetica" w:hAnsi="Helvetica"/>
            <w:noProof/>
            <w:webHidden/>
            <w:sz w:val="20"/>
            <w:szCs w:val="20"/>
          </w:rPr>
          <w:instrText xml:space="preserve"> PAGEREF _Toc462758539 \h </w:instrText>
        </w:r>
        <w:r w:rsidR="00C77F4E" w:rsidRPr="00DE6F85">
          <w:rPr>
            <w:rFonts w:ascii="Helvetica" w:hAnsi="Helvetica"/>
            <w:noProof/>
            <w:webHidden/>
            <w:sz w:val="20"/>
            <w:szCs w:val="20"/>
          </w:rPr>
        </w:r>
        <w:r w:rsidR="00C77F4E" w:rsidRPr="00DE6F85">
          <w:rPr>
            <w:rFonts w:ascii="Helvetica" w:hAnsi="Helvetica"/>
            <w:noProof/>
            <w:webHidden/>
            <w:sz w:val="20"/>
            <w:szCs w:val="20"/>
          </w:rPr>
          <w:fldChar w:fldCharType="separate"/>
        </w:r>
        <w:r w:rsidR="00DE6F85">
          <w:rPr>
            <w:rFonts w:ascii="Helvetica" w:hAnsi="Helvetica"/>
            <w:noProof/>
            <w:webHidden/>
            <w:sz w:val="20"/>
            <w:szCs w:val="20"/>
          </w:rPr>
          <w:t>19</w:t>
        </w:r>
        <w:r w:rsidR="00C77F4E" w:rsidRPr="00DE6F85">
          <w:rPr>
            <w:rFonts w:ascii="Helvetica" w:hAnsi="Helvetica"/>
            <w:noProof/>
            <w:webHidden/>
            <w:sz w:val="20"/>
            <w:szCs w:val="20"/>
          </w:rPr>
          <w:fldChar w:fldCharType="end"/>
        </w:r>
      </w:hyperlink>
    </w:p>
    <w:p w14:paraId="222F29FB" w14:textId="77777777" w:rsidR="00C77F4E" w:rsidRPr="00DE6F85" w:rsidRDefault="009F36C5">
      <w:pPr>
        <w:pStyle w:val="TOC1"/>
        <w:rPr>
          <w:rFonts w:ascii="Helvetica" w:eastAsiaTheme="minorEastAsia" w:hAnsi="Helvetica" w:cstheme="minorBidi"/>
          <w:noProof/>
          <w:sz w:val="20"/>
          <w:szCs w:val="20"/>
        </w:rPr>
      </w:pPr>
      <w:hyperlink w:anchor="_Toc462758540" w:history="1">
        <w:r w:rsidR="00C77F4E" w:rsidRPr="00DE6F85">
          <w:rPr>
            <w:rStyle w:val="Hyperlink"/>
            <w:rFonts w:ascii="Helvetica" w:hAnsi="Helvetica" w:cs="Arial"/>
            <w:noProof/>
            <w:sz w:val="20"/>
            <w:szCs w:val="20"/>
          </w:rPr>
          <w:t>The NAAB</w:t>
        </w:r>
        <w:r w:rsidR="00C77F4E" w:rsidRPr="00DE6F85">
          <w:rPr>
            <w:rFonts w:ascii="Helvetica" w:hAnsi="Helvetica"/>
            <w:noProof/>
            <w:webHidden/>
            <w:sz w:val="20"/>
            <w:szCs w:val="20"/>
          </w:rPr>
          <w:tab/>
        </w:r>
        <w:r w:rsidR="00C77F4E" w:rsidRPr="00DE6F85">
          <w:rPr>
            <w:rFonts w:ascii="Helvetica" w:hAnsi="Helvetica"/>
            <w:noProof/>
            <w:webHidden/>
            <w:sz w:val="20"/>
            <w:szCs w:val="20"/>
          </w:rPr>
          <w:fldChar w:fldCharType="begin"/>
        </w:r>
        <w:r w:rsidR="00C77F4E" w:rsidRPr="00DE6F85">
          <w:rPr>
            <w:rFonts w:ascii="Helvetica" w:hAnsi="Helvetica"/>
            <w:noProof/>
            <w:webHidden/>
            <w:sz w:val="20"/>
            <w:szCs w:val="20"/>
          </w:rPr>
          <w:instrText xml:space="preserve"> PAGEREF _Toc462758540 \h </w:instrText>
        </w:r>
        <w:r w:rsidR="00C77F4E" w:rsidRPr="00DE6F85">
          <w:rPr>
            <w:rFonts w:ascii="Helvetica" w:hAnsi="Helvetica"/>
            <w:noProof/>
            <w:webHidden/>
            <w:sz w:val="20"/>
            <w:szCs w:val="20"/>
          </w:rPr>
        </w:r>
        <w:r w:rsidR="00C77F4E" w:rsidRPr="00DE6F85">
          <w:rPr>
            <w:rFonts w:ascii="Helvetica" w:hAnsi="Helvetica"/>
            <w:noProof/>
            <w:webHidden/>
            <w:sz w:val="20"/>
            <w:szCs w:val="20"/>
          </w:rPr>
          <w:fldChar w:fldCharType="separate"/>
        </w:r>
        <w:r w:rsidR="00DE6F85">
          <w:rPr>
            <w:rFonts w:ascii="Helvetica" w:hAnsi="Helvetica"/>
            <w:noProof/>
            <w:webHidden/>
            <w:sz w:val="20"/>
            <w:szCs w:val="20"/>
          </w:rPr>
          <w:t>20</w:t>
        </w:r>
        <w:r w:rsidR="00C77F4E" w:rsidRPr="00DE6F85">
          <w:rPr>
            <w:rFonts w:ascii="Helvetica" w:hAnsi="Helvetica"/>
            <w:noProof/>
            <w:webHidden/>
            <w:sz w:val="20"/>
            <w:szCs w:val="20"/>
          </w:rPr>
          <w:fldChar w:fldCharType="end"/>
        </w:r>
      </w:hyperlink>
    </w:p>
    <w:p w14:paraId="066A56B5" w14:textId="77777777" w:rsidR="00C77F4E" w:rsidRPr="00C77F4E" w:rsidRDefault="009F36C5">
      <w:pPr>
        <w:pStyle w:val="TOC1"/>
        <w:rPr>
          <w:rFonts w:ascii="Helvetica" w:eastAsiaTheme="minorEastAsia" w:hAnsi="Helvetica" w:cstheme="minorBidi"/>
          <w:noProof/>
          <w:sz w:val="20"/>
          <w:szCs w:val="20"/>
        </w:rPr>
      </w:pPr>
      <w:hyperlink w:anchor="_Toc462758541" w:history="1">
        <w:r w:rsidR="00C77F4E" w:rsidRPr="00DE6F85">
          <w:rPr>
            <w:rStyle w:val="Hyperlink"/>
            <w:rFonts w:ascii="Helvetica" w:hAnsi="Helvetica" w:cs="Arial"/>
            <w:noProof/>
            <w:sz w:val="20"/>
            <w:szCs w:val="20"/>
          </w:rPr>
          <w:t>Background to the 2013 NAAB Accreditation Review Conference (ARC13)</w:t>
        </w:r>
        <w:r w:rsidR="00C77F4E" w:rsidRPr="00DE6F85">
          <w:rPr>
            <w:rFonts w:ascii="Helvetica" w:hAnsi="Helvetica"/>
            <w:noProof/>
            <w:webHidden/>
            <w:sz w:val="20"/>
            <w:szCs w:val="20"/>
          </w:rPr>
          <w:tab/>
        </w:r>
        <w:r w:rsidR="00C77F4E" w:rsidRPr="00DE6F85">
          <w:rPr>
            <w:rFonts w:ascii="Helvetica" w:hAnsi="Helvetica"/>
            <w:noProof/>
            <w:webHidden/>
            <w:sz w:val="20"/>
            <w:szCs w:val="20"/>
          </w:rPr>
          <w:fldChar w:fldCharType="begin"/>
        </w:r>
        <w:r w:rsidR="00C77F4E" w:rsidRPr="00DE6F85">
          <w:rPr>
            <w:rFonts w:ascii="Helvetica" w:hAnsi="Helvetica"/>
            <w:noProof/>
            <w:webHidden/>
            <w:sz w:val="20"/>
            <w:szCs w:val="20"/>
          </w:rPr>
          <w:instrText xml:space="preserve"> PAGEREF _Toc462758541 \h </w:instrText>
        </w:r>
        <w:r w:rsidR="00C77F4E" w:rsidRPr="00DE6F85">
          <w:rPr>
            <w:rFonts w:ascii="Helvetica" w:hAnsi="Helvetica"/>
            <w:noProof/>
            <w:webHidden/>
            <w:sz w:val="20"/>
            <w:szCs w:val="20"/>
          </w:rPr>
        </w:r>
        <w:r w:rsidR="00C77F4E" w:rsidRPr="00DE6F85">
          <w:rPr>
            <w:rFonts w:ascii="Helvetica" w:hAnsi="Helvetica"/>
            <w:noProof/>
            <w:webHidden/>
            <w:sz w:val="20"/>
            <w:szCs w:val="20"/>
          </w:rPr>
          <w:fldChar w:fldCharType="separate"/>
        </w:r>
        <w:r w:rsidR="00DE6F85">
          <w:rPr>
            <w:rFonts w:ascii="Helvetica" w:hAnsi="Helvetica"/>
            <w:noProof/>
            <w:webHidden/>
            <w:sz w:val="20"/>
            <w:szCs w:val="20"/>
          </w:rPr>
          <w:t>21</w:t>
        </w:r>
        <w:r w:rsidR="00C77F4E" w:rsidRPr="00DE6F85">
          <w:rPr>
            <w:rFonts w:ascii="Helvetica" w:hAnsi="Helvetica"/>
            <w:noProof/>
            <w:webHidden/>
            <w:sz w:val="20"/>
            <w:szCs w:val="20"/>
          </w:rPr>
          <w:fldChar w:fldCharType="end"/>
        </w:r>
      </w:hyperlink>
    </w:p>
    <w:p w14:paraId="2B5799DE" w14:textId="0D9786AF" w:rsidR="00C77F4E" w:rsidRPr="00C77F4E" w:rsidRDefault="00C77F4E">
      <w:pPr>
        <w:pStyle w:val="TOC2"/>
        <w:rPr>
          <w:rFonts w:ascii="Helvetica" w:eastAsiaTheme="minorEastAsia" w:hAnsi="Helvetica" w:cstheme="minorBidi"/>
          <w:noProof/>
          <w:sz w:val="20"/>
          <w:szCs w:val="20"/>
        </w:rPr>
      </w:pPr>
    </w:p>
    <w:p w14:paraId="5000489E" w14:textId="77777777" w:rsidR="00673614" w:rsidRPr="00C77F4E" w:rsidRDefault="009752D6">
      <w:pPr>
        <w:rPr>
          <w:rFonts w:ascii="Helvetica" w:hAnsi="Helvetica"/>
        </w:rPr>
      </w:pPr>
      <w:r w:rsidRPr="00C77F4E">
        <w:rPr>
          <w:rFonts w:ascii="Helvetica" w:eastAsia="Times New Roman" w:hAnsi="Helvetica" w:cs="Arial"/>
          <w:sz w:val="20"/>
          <w:szCs w:val="20"/>
        </w:rPr>
        <w:fldChar w:fldCharType="end"/>
      </w:r>
    </w:p>
    <w:p w14:paraId="23B986D2" w14:textId="3E527056" w:rsidR="00673614" w:rsidRPr="00C77F4E" w:rsidRDefault="009752D6" w:rsidP="007A3869">
      <w:pPr>
        <w:pStyle w:val="Heading1"/>
        <w:rPr>
          <w:rFonts w:ascii="Helvetica" w:hAnsi="Helvetica" w:cs="Arial"/>
          <w:bCs w:val="0"/>
          <w:smallCaps/>
          <w:color w:val="auto"/>
          <w:sz w:val="20"/>
          <w:szCs w:val="20"/>
        </w:rPr>
      </w:pPr>
      <w:bookmarkStart w:id="0" w:name="_Toc358370809"/>
      <w:bookmarkStart w:id="1" w:name="_Toc462758512"/>
      <w:r w:rsidRPr="00C77F4E">
        <w:rPr>
          <w:rFonts w:ascii="Helvetica" w:hAnsi="Helvetica" w:cs="Arial"/>
          <w:bCs w:val="0"/>
          <w:smallCaps/>
          <w:color w:val="auto"/>
          <w:sz w:val="20"/>
          <w:szCs w:val="20"/>
        </w:rPr>
        <w:t>Introduction</w:t>
      </w:r>
      <w:bookmarkEnd w:id="0"/>
      <w:bookmarkEnd w:id="1"/>
    </w:p>
    <w:p w14:paraId="1F75F604" w14:textId="77777777" w:rsidR="00673614" w:rsidRPr="00C77F4E" w:rsidRDefault="005C67D4" w:rsidP="001B63D0">
      <w:pPr>
        <w:spacing w:after="120" w:line="240" w:lineRule="auto"/>
        <w:rPr>
          <w:rFonts w:ascii="Helvetica" w:hAnsi="Helvetica" w:cs="Arial"/>
          <w:bCs/>
          <w:sz w:val="20"/>
          <w:szCs w:val="20"/>
        </w:rPr>
      </w:pPr>
      <w:r w:rsidRPr="00C77F4E">
        <w:rPr>
          <w:rFonts w:ascii="Helvetica" w:hAnsi="Helvetica" w:cs="Arial"/>
          <w:bCs/>
          <w:sz w:val="20"/>
          <w:szCs w:val="20"/>
        </w:rPr>
        <w:t>In July 2013, the National Architectural Accrediting Board (NAAB)</w:t>
      </w:r>
      <w:r w:rsidR="0047275D" w:rsidRPr="00C77F4E">
        <w:rPr>
          <w:rFonts w:ascii="Helvetica" w:hAnsi="Helvetica" w:cs="Arial"/>
          <w:bCs/>
          <w:sz w:val="20"/>
          <w:szCs w:val="20"/>
        </w:rPr>
        <w:t xml:space="preserve"> convened the </w:t>
      </w:r>
      <w:r w:rsidRPr="00C77F4E">
        <w:rPr>
          <w:rFonts w:ascii="Helvetica" w:hAnsi="Helvetica" w:cs="Arial"/>
          <w:bCs/>
          <w:sz w:val="20"/>
          <w:szCs w:val="20"/>
        </w:rPr>
        <w:t>2013 Accreditation Review Conference (ARC13).</w:t>
      </w:r>
    </w:p>
    <w:p w14:paraId="0B6BB51F" w14:textId="77777777" w:rsidR="005C67D4" w:rsidRPr="00C77F4E" w:rsidRDefault="0047275D" w:rsidP="001B63D0">
      <w:pPr>
        <w:spacing w:after="120" w:line="240" w:lineRule="auto"/>
        <w:rPr>
          <w:rFonts w:ascii="Helvetica" w:hAnsi="Helvetica" w:cs="Arial"/>
          <w:bCs/>
          <w:sz w:val="20"/>
          <w:szCs w:val="20"/>
        </w:rPr>
      </w:pPr>
      <w:r w:rsidRPr="00C77F4E">
        <w:rPr>
          <w:rFonts w:ascii="Helvetica" w:hAnsi="Helvetica" w:cs="Arial"/>
          <w:bCs/>
          <w:sz w:val="20"/>
          <w:szCs w:val="20"/>
        </w:rPr>
        <w:t>ARC13, which included</w:t>
      </w:r>
      <w:r w:rsidR="005C67D4" w:rsidRPr="00C77F4E">
        <w:rPr>
          <w:rFonts w:ascii="Helvetica" w:hAnsi="Helvetica" w:cs="Arial"/>
          <w:bCs/>
          <w:sz w:val="20"/>
          <w:szCs w:val="20"/>
        </w:rPr>
        <w:t xml:space="preserve"> two full days of discussion, deliberation, and creative-problem solving</w:t>
      </w:r>
      <w:r w:rsidR="00F91A99" w:rsidRPr="00C77F4E">
        <w:rPr>
          <w:rFonts w:ascii="Helvetica" w:hAnsi="Helvetica" w:cs="Arial"/>
          <w:bCs/>
          <w:sz w:val="20"/>
          <w:szCs w:val="20"/>
        </w:rPr>
        <w:t>,</w:t>
      </w:r>
      <w:r w:rsidR="006D5EBB" w:rsidRPr="00C77F4E">
        <w:rPr>
          <w:rFonts w:ascii="Helvetica" w:hAnsi="Helvetica" w:cs="Arial"/>
          <w:bCs/>
          <w:sz w:val="20"/>
          <w:szCs w:val="20"/>
        </w:rPr>
        <w:t xml:space="preserve"> </w:t>
      </w:r>
      <w:r w:rsidR="005C67D4" w:rsidRPr="00C77F4E">
        <w:rPr>
          <w:rFonts w:ascii="Helvetica" w:hAnsi="Helvetica" w:cs="Arial"/>
          <w:bCs/>
          <w:sz w:val="20"/>
          <w:szCs w:val="20"/>
        </w:rPr>
        <w:t>produced over 50 pages of flip-chart sized notes and 300 images. These artifacts represent the distillation of over two years of study, analysis, and review by the NAAB, and other organizations in architecture.</w:t>
      </w:r>
    </w:p>
    <w:p w14:paraId="3E102C8B" w14:textId="77777777" w:rsidR="005C67D4" w:rsidRPr="00C77F4E" w:rsidRDefault="0047275D" w:rsidP="001B63D0">
      <w:pPr>
        <w:spacing w:after="120" w:line="240" w:lineRule="auto"/>
        <w:rPr>
          <w:rFonts w:ascii="Helvetica" w:hAnsi="Helvetica" w:cs="Arial"/>
          <w:bCs/>
          <w:sz w:val="20"/>
          <w:szCs w:val="20"/>
        </w:rPr>
      </w:pPr>
      <w:r w:rsidRPr="00C77F4E">
        <w:rPr>
          <w:rFonts w:ascii="Helvetica" w:hAnsi="Helvetica" w:cs="Arial"/>
          <w:bCs/>
          <w:sz w:val="20"/>
          <w:szCs w:val="20"/>
        </w:rPr>
        <w:t xml:space="preserve">Following </w:t>
      </w:r>
      <w:r w:rsidR="00DF33B6" w:rsidRPr="00C77F4E">
        <w:rPr>
          <w:rFonts w:ascii="Helvetica" w:hAnsi="Helvetica" w:cs="Arial"/>
          <w:bCs/>
          <w:sz w:val="20"/>
          <w:szCs w:val="20"/>
        </w:rPr>
        <w:t xml:space="preserve">the conference, NAAB began drafting the </w:t>
      </w:r>
      <w:r w:rsidR="00DF33B6" w:rsidRPr="00C77F4E">
        <w:rPr>
          <w:rFonts w:ascii="Helvetica" w:hAnsi="Helvetica" w:cs="Arial"/>
          <w:bCs/>
          <w:i/>
          <w:sz w:val="20"/>
          <w:szCs w:val="20"/>
        </w:rPr>
        <w:t>2014 NAAB Conditions for Accreditation.</w:t>
      </w:r>
      <w:r w:rsidRPr="00C77F4E">
        <w:rPr>
          <w:rFonts w:ascii="Helvetica" w:hAnsi="Helvetica" w:cs="Arial"/>
          <w:bCs/>
          <w:sz w:val="20"/>
          <w:szCs w:val="20"/>
        </w:rPr>
        <w:t xml:space="preserve"> The first </w:t>
      </w:r>
      <w:r w:rsidR="00DF33B6" w:rsidRPr="00C77F4E">
        <w:rPr>
          <w:rFonts w:ascii="Helvetica" w:hAnsi="Helvetica" w:cs="Arial"/>
          <w:bCs/>
          <w:sz w:val="20"/>
          <w:szCs w:val="20"/>
        </w:rPr>
        <w:t xml:space="preserve">draft is now available for public comment at </w:t>
      </w:r>
      <w:hyperlink r:id="rId10" w:history="1">
        <w:r w:rsidR="00DF33B6" w:rsidRPr="00C77F4E">
          <w:rPr>
            <w:rStyle w:val="Hyperlink"/>
            <w:rFonts w:ascii="Helvetica" w:hAnsi="Helvetica" w:cs="Arial"/>
            <w:bCs/>
            <w:sz w:val="20"/>
            <w:szCs w:val="20"/>
          </w:rPr>
          <w:t>www.naab.org</w:t>
        </w:r>
      </w:hyperlink>
      <w:r w:rsidR="00DF33B6" w:rsidRPr="00C77F4E">
        <w:rPr>
          <w:rFonts w:ascii="Helvetica" w:hAnsi="Helvetica" w:cs="Arial"/>
          <w:bCs/>
          <w:sz w:val="20"/>
          <w:szCs w:val="20"/>
        </w:rPr>
        <w:t>.</w:t>
      </w:r>
    </w:p>
    <w:p w14:paraId="0D89B8E0" w14:textId="77777777" w:rsidR="00DF33B6" w:rsidRPr="00C77F4E" w:rsidRDefault="00DF33B6" w:rsidP="001B63D0">
      <w:pPr>
        <w:spacing w:after="120" w:line="240" w:lineRule="auto"/>
        <w:rPr>
          <w:rFonts w:ascii="Helvetica" w:hAnsi="Helvetica" w:cs="Arial"/>
          <w:bCs/>
          <w:sz w:val="20"/>
          <w:szCs w:val="20"/>
        </w:rPr>
      </w:pPr>
      <w:r w:rsidRPr="00C77F4E">
        <w:rPr>
          <w:rFonts w:ascii="Helvetica" w:hAnsi="Helvetica" w:cs="Arial"/>
          <w:bCs/>
          <w:sz w:val="20"/>
          <w:szCs w:val="20"/>
        </w:rPr>
        <w:t xml:space="preserve">In addition, the NAAB directors agreed the </w:t>
      </w:r>
      <w:r w:rsidR="00F91A99" w:rsidRPr="00C77F4E">
        <w:rPr>
          <w:rFonts w:ascii="Helvetica" w:hAnsi="Helvetica" w:cs="Arial"/>
          <w:bCs/>
          <w:sz w:val="20"/>
          <w:szCs w:val="20"/>
        </w:rPr>
        <w:t>2014 Conditions</w:t>
      </w:r>
      <w:r w:rsidRPr="00C77F4E">
        <w:rPr>
          <w:rFonts w:ascii="Helvetica" w:hAnsi="Helvetica" w:cs="Arial"/>
          <w:bCs/>
          <w:sz w:val="20"/>
          <w:szCs w:val="20"/>
        </w:rPr>
        <w:t xml:space="preserve"> should be accompanied by a </w:t>
      </w:r>
      <w:r w:rsidR="00F91A99" w:rsidRPr="00C77F4E">
        <w:rPr>
          <w:rFonts w:ascii="Helvetica" w:hAnsi="Helvetica" w:cs="Arial"/>
          <w:bCs/>
          <w:sz w:val="20"/>
          <w:szCs w:val="20"/>
        </w:rPr>
        <w:t xml:space="preserve">companion </w:t>
      </w:r>
      <w:r w:rsidRPr="00C77F4E">
        <w:rPr>
          <w:rFonts w:ascii="Helvetica" w:hAnsi="Helvetica" w:cs="Arial"/>
          <w:bCs/>
          <w:sz w:val="20"/>
          <w:szCs w:val="20"/>
        </w:rPr>
        <w:t xml:space="preserve">document </w:t>
      </w:r>
      <w:r w:rsidR="00F91A99" w:rsidRPr="00C77F4E">
        <w:rPr>
          <w:rFonts w:ascii="Helvetica" w:hAnsi="Helvetica" w:cs="Arial"/>
          <w:bCs/>
          <w:sz w:val="20"/>
          <w:szCs w:val="20"/>
        </w:rPr>
        <w:t>that addressed</w:t>
      </w:r>
      <w:r w:rsidR="0047275D" w:rsidRPr="00C77F4E">
        <w:rPr>
          <w:rFonts w:ascii="Helvetica" w:hAnsi="Helvetica" w:cs="Arial"/>
          <w:bCs/>
          <w:sz w:val="20"/>
          <w:szCs w:val="20"/>
        </w:rPr>
        <w:t xml:space="preserve"> two </w:t>
      </w:r>
      <w:r w:rsidRPr="00C77F4E">
        <w:rPr>
          <w:rFonts w:ascii="Helvetica" w:hAnsi="Helvetica" w:cs="Arial"/>
          <w:bCs/>
          <w:sz w:val="20"/>
          <w:szCs w:val="20"/>
        </w:rPr>
        <w:t>matters:</w:t>
      </w:r>
    </w:p>
    <w:p w14:paraId="77861DD2" w14:textId="77777777" w:rsidR="00DF33B6" w:rsidRPr="00C77F4E" w:rsidRDefault="00DF33B6" w:rsidP="009F36C5">
      <w:pPr>
        <w:numPr>
          <w:ilvl w:val="0"/>
          <w:numId w:val="19"/>
        </w:numPr>
        <w:spacing w:after="120" w:line="240" w:lineRule="auto"/>
        <w:rPr>
          <w:rFonts w:ascii="Helvetica" w:hAnsi="Helvetica" w:cs="Arial"/>
          <w:bCs/>
          <w:sz w:val="20"/>
          <w:szCs w:val="20"/>
        </w:rPr>
      </w:pPr>
      <w:r w:rsidRPr="00C77F4E">
        <w:rPr>
          <w:rFonts w:ascii="Helvetica" w:hAnsi="Helvetica" w:cs="Arial"/>
          <w:bCs/>
          <w:sz w:val="20"/>
          <w:szCs w:val="20"/>
        </w:rPr>
        <w:t>Commentary by the writing team on the new areas or new text in the first draft.</w:t>
      </w:r>
    </w:p>
    <w:p w14:paraId="6F33072F" w14:textId="77777777" w:rsidR="00DF33B6" w:rsidRPr="00C77F4E" w:rsidRDefault="00DF33B6" w:rsidP="009F36C5">
      <w:pPr>
        <w:numPr>
          <w:ilvl w:val="0"/>
          <w:numId w:val="19"/>
        </w:numPr>
        <w:spacing w:after="120" w:line="240" w:lineRule="auto"/>
        <w:rPr>
          <w:rFonts w:ascii="Helvetica" w:hAnsi="Helvetica" w:cs="Arial"/>
          <w:bCs/>
          <w:sz w:val="20"/>
          <w:szCs w:val="20"/>
        </w:rPr>
      </w:pPr>
      <w:r w:rsidRPr="00C77F4E">
        <w:rPr>
          <w:rFonts w:ascii="Helvetica" w:hAnsi="Helvetica" w:cs="Arial"/>
          <w:bCs/>
          <w:sz w:val="20"/>
          <w:szCs w:val="20"/>
        </w:rPr>
        <w:t>Instructions to programs for writing the Architecture Program Report (APR)</w:t>
      </w:r>
    </w:p>
    <w:p w14:paraId="13A786B2" w14:textId="77777777" w:rsidR="00993C03" w:rsidRPr="00C77F4E" w:rsidRDefault="00993C03" w:rsidP="001B63D0">
      <w:pPr>
        <w:spacing w:after="120" w:line="240" w:lineRule="auto"/>
        <w:rPr>
          <w:rFonts w:ascii="Helvetica" w:hAnsi="Helvetica" w:cs="Arial"/>
          <w:bCs/>
          <w:sz w:val="20"/>
          <w:szCs w:val="20"/>
        </w:rPr>
      </w:pPr>
      <w:r w:rsidRPr="00C77F4E">
        <w:rPr>
          <w:rFonts w:ascii="Helvetica" w:hAnsi="Helvetica" w:cs="Arial"/>
          <w:bCs/>
          <w:sz w:val="20"/>
          <w:szCs w:val="20"/>
        </w:rPr>
        <w:t xml:space="preserve">The first iteration will include introductions and commentary on the preparation of the early drafts of the </w:t>
      </w:r>
      <w:r w:rsidRPr="00C77F4E">
        <w:rPr>
          <w:rFonts w:ascii="Helvetica" w:hAnsi="Helvetica" w:cs="Arial"/>
          <w:bCs/>
          <w:i/>
          <w:sz w:val="20"/>
          <w:szCs w:val="20"/>
        </w:rPr>
        <w:t>2014 Conditions</w:t>
      </w:r>
      <w:r w:rsidRPr="00C77F4E">
        <w:rPr>
          <w:rFonts w:ascii="Helvetica" w:hAnsi="Helvetica" w:cs="Arial"/>
          <w:bCs/>
          <w:sz w:val="20"/>
          <w:szCs w:val="20"/>
        </w:rPr>
        <w:t xml:space="preserve"> and will later be revised to include instructions for preparing Architecture Program Reports (APRs). </w:t>
      </w:r>
    </w:p>
    <w:p w14:paraId="1CE70E71" w14:textId="77777777" w:rsidR="00DF33B6" w:rsidRPr="00C77F4E" w:rsidRDefault="00DF33B6" w:rsidP="001B63D0">
      <w:pPr>
        <w:spacing w:after="120" w:line="240" w:lineRule="auto"/>
        <w:rPr>
          <w:rFonts w:ascii="Helvetica" w:hAnsi="Helvetica" w:cs="Arial"/>
          <w:bCs/>
          <w:sz w:val="20"/>
          <w:szCs w:val="20"/>
        </w:rPr>
      </w:pPr>
      <w:r w:rsidRPr="00C77F4E">
        <w:rPr>
          <w:rFonts w:ascii="Helvetica" w:hAnsi="Helvetica" w:cs="Arial"/>
          <w:bCs/>
          <w:sz w:val="20"/>
          <w:szCs w:val="20"/>
        </w:rPr>
        <w:t xml:space="preserve">It will </w:t>
      </w:r>
      <w:r w:rsidR="0047275D" w:rsidRPr="00C77F4E">
        <w:rPr>
          <w:rFonts w:ascii="Helvetica" w:hAnsi="Helvetica" w:cs="Arial"/>
          <w:bCs/>
          <w:sz w:val="20"/>
          <w:szCs w:val="20"/>
        </w:rPr>
        <w:t xml:space="preserve">be continually revised over the next eighteen months in order to </w:t>
      </w:r>
      <w:r w:rsidRPr="00C77F4E">
        <w:rPr>
          <w:rFonts w:ascii="Helvetica" w:hAnsi="Helvetica" w:cs="Arial"/>
          <w:bCs/>
          <w:sz w:val="20"/>
          <w:szCs w:val="20"/>
        </w:rPr>
        <w:t xml:space="preserve">serve as a set of guidelines for programs preparing for a NAAB visit using the </w:t>
      </w:r>
      <w:r w:rsidRPr="00C77F4E">
        <w:rPr>
          <w:rFonts w:ascii="Helvetica" w:hAnsi="Helvetica" w:cs="Arial"/>
          <w:bCs/>
          <w:i/>
          <w:sz w:val="20"/>
          <w:szCs w:val="20"/>
        </w:rPr>
        <w:t>2014 Conditions</w:t>
      </w:r>
      <w:r w:rsidRPr="00C77F4E">
        <w:rPr>
          <w:rFonts w:ascii="Helvetica" w:hAnsi="Helvetica" w:cs="Arial"/>
          <w:bCs/>
          <w:sz w:val="20"/>
          <w:szCs w:val="20"/>
        </w:rPr>
        <w:t xml:space="preserve">. </w:t>
      </w:r>
      <w:r w:rsidR="00993C03" w:rsidRPr="00C77F4E">
        <w:rPr>
          <w:rFonts w:ascii="Helvetica" w:hAnsi="Helvetica" w:cs="Arial"/>
          <w:bCs/>
          <w:sz w:val="20"/>
          <w:szCs w:val="20"/>
        </w:rPr>
        <w:t xml:space="preserve">In subsequent years (2016 and on) it will be revised annually based on surveys and evaluations of the visit process. </w:t>
      </w:r>
    </w:p>
    <w:p w14:paraId="6721CC3B" w14:textId="77777777" w:rsidR="00DF33B6" w:rsidRPr="00C77F4E" w:rsidRDefault="00DF33B6" w:rsidP="001B63D0">
      <w:pPr>
        <w:spacing w:after="120" w:line="240" w:lineRule="auto"/>
        <w:rPr>
          <w:rFonts w:ascii="Helvetica" w:hAnsi="Helvetica" w:cs="Arial"/>
          <w:bCs/>
          <w:sz w:val="20"/>
          <w:szCs w:val="20"/>
        </w:rPr>
      </w:pPr>
      <w:r w:rsidRPr="00C77F4E">
        <w:rPr>
          <w:rFonts w:ascii="Helvetica" w:hAnsi="Helvetica" w:cs="Arial"/>
          <w:bCs/>
          <w:sz w:val="20"/>
          <w:szCs w:val="20"/>
        </w:rPr>
        <w:t xml:space="preserve">This document is not considered a part of </w:t>
      </w:r>
      <w:r w:rsidRPr="00C77F4E">
        <w:rPr>
          <w:rFonts w:ascii="Helvetica" w:hAnsi="Helvetica" w:cs="Arial"/>
          <w:bCs/>
          <w:i/>
          <w:sz w:val="20"/>
          <w:szCs w:val="20"/>
        </w:rPr>
        <w:t>The Conditions for Accreditation</w:t>
      </w:r>
      <w:r w:rsidRPr="00C77F4E">
        <w:rPr>
          <w:rFonts w:ascii="Helvetica" w:hAnsi="Helvetica" w:cs="Arial"/>
          <w:bCs/>
          <w:sz w:val="20"/>
          <w:szCs w:val="20"/>
        </w:rPr>
        <w:t xml:space="preserve">. It is advisory to and non-binding on the Board. </w:t>
      </w:r>
    </w:p>
    <w:p w14:paraId="16A4E2B4" w14:textId="77777777" w:rsidR="00673614" w:rsidRPr="00C77F4E" w:rsidRDefault="00673614" w:rsidP="007A3869">
      <w:pPr>
        <w:pStyle w:val="Heading1"/>
        <w:rPr>
          <w:rFonts w:ascii="Helvetica" w:hAnsi="Helvetica" w:cs="Arial"/>
          <w:bCs w:val="0"/>
          <w:smallCaps/>
          <w:color w:val="auto"/>
          <w:sz w:val="20"/>
          <w:szCs w:val="20"/>
        </w:rPr>
      </w:pPr>
      <w:bookmarkStart w:id="2" w:name="_Toc358370811"/>
      <w:bookmarkStart w:id="3" w:name="_Toc462758513"/>
      <w:r w:rsidRPr="00C77F4E">
        <w:rPr>
          <w:rFonts w:ascii="Helvetica" w:hAnsi="Helvetica" w:cs="Arial"/>
          <w:bCs w:val="0"/>
          <w:smallCaps/>
          <w:color w:val="auto"/>
          <w:sz w:val="20"/>
          <w:szCs w:val="20"/>
        </w:rPr>
        <w:t>NAAB Accreditation Documents</w:t>
      </w:r>
      <w:bookmarkEnd w:id="2"/>
      <w:bookmarkEnd w:id="3"/>
    </w:p>
    <w:p w14:paraId="4E99E31D" w14:textId="77777777" w:rsidR="0047275D" w:rsidRPr="00C77F4E" w:rsidRDefault="0047275D" w:rsidP="001B63D0">
      <w:pPr>
        <w:spacing w:after="120" w:line="240" w:lineRule="auto"/>
        <w:rPr>
          <w:rFonts w:ascii="Helvetica" w:hAnsi="Helvetica" w:cs="Arial"/>
          <w:bCs/>
          <w:sz w:val="20"/>
          <w:szCs w:val="20"/>
        </w:rPr>
      </w:pPr>
      <w:bookmarkStart w:id="4" w:name="_Toc358370813"/>
      <w:r w:rsidRPr="00C77F4E">
        <w:rPr>
          <w:rFonts w:ascii="Helvetica" w:hAnsi="Helvetica" w:cs="Arial"/>
          <w:bCs/>
          <w:sz w:val="20"/>
          <w:szCs w:val="20"/>
        </w:rPr>
        <w:t xml:space="preserve">The </w:t>
      </w:r>
      <w:r w:rsidRPr="00C77F4E">
        <w:rPr>
          <w:rFonts w:ascii="Helvetica" w:hAnsi="Helvetica" w:cs="Arial"/>
          <w:bCs/>
          <w:i/>
          <w:sz w:val="20"/>
          <w:szCs w:val="20"/>
        </w:rPr>
        <w:t xml:space="preserve">2014 </w:t>
      </w:r>
      <w:r w:rsidRPr="00C77F4E">
        <w:rPr>
          <w:rFonts w:ascii="Helvetica" w:hAnsi="Helvetica" w:cs="Arial"/>
          <w:bCs/>
          <w:i/>
          <w:iCs/>
          <w:sz w:val="20"/>
          <w:szCs w:val="20"/>
        </w:rPr>
        <w:t xml:space="preserve">NAAB Conditions for Accreditation </w:t>
      </w:r>
      <w:r w:rsidRPr="00C77F4E">
        <w:rPr>
          <w:rFonts w:ascii="Helvetica" w:hAnsi="Helvetica" w:cs="Arial"/>
          <w:bCs/>
          <w:sz w:val="20"/>
          <w:szCs w:val="20"/>
        </w:rPr>
        <w:t>define the standards that professional degree programs in architecture are expected to meet in order to ensure that students are prepared to move to the next steps in their careers including internship and licensure. This document was last revised in 2009; it will be revised again in 2019.</w:t>
      </w:r>
    </w:p>
    <w:p w14:paraId="00AAB392" w14:textId="77777777" w:rsidR="0047275D" w:rsidRPr="00C77F4E" w:rsidRDefault="001B63D0" w:rsidP="001B63D0">
      <w:pPr>
        <w:spacing w:after="120" w:line="240" w:lineRule="auto"/>
        <w:rPr>
          <w:rFonts w:ascii="Helvetica" w:hAnsi="Helvetica" w:cs="Arial"/>
          <w:bCs/>
          <w:sz w:val="20"/>
          <w:szCs w:val="20"/>
        </w:rPr>
      </w:pPr>
      <w:r w:rsidRPr="00C77F4E">
        <w:rPr>
          <w:rFonts w:ascii="Helvetica" w:hAnsi="Helvetica" w:cs="Arial"/>
          <w:bCs/>
          <w:sz w:val="20"/>
          <w:szCs w:val="20"/>
        </w:rPr>
        <w:t>T</w:t>
      </w:r>
      <w:r w:rsidR="0047275D" w:rsidRPr="00C77F4E">
        <w:rPr>
          <w:rFonts w:ascii="Helvetica" w:hAnsi="Helvetica" w:cs="Arial"/>
          <w:bCs/>
          <w:sz w:val="20"/>
          <w:szCs w:val="20"/>
        </w:rPr>
        <w:t xml:space="preserve">he </w:t>
      </w:r>
      <w:r w:rsidR="0047275D" w:rsidRPr="00C77F4E">
        <w:rPr>
          <w:rFonts w:ascii="Helvetica" w:hAnsi="Helvetica" w:cs="Arial"/>
          <w:bCs/>
          <w:i/>
          <w:iCs/>
          <w:sz w:val="20"/>
          <w:szCs w:val="20"/>
        </w:rPr>
        <w:t xml:space="preserve">NAAB Procedures for Accreditation </w:t>
      </w:r>
      <w:r w:rsidR="0047275D" w:rsidRPr="00C77F4E">
        <w:rPr>
          <w:rFonts w:ascii="Helvetica" w:hAnsi="Helvetica" w:cs="Arial"/>
          <w:bCs/>
          <w:sz w:val="20"/>
          <w:szCs w:val="20"/>
        </w:rPr>
        <w:t xml:space="preserve">outline the procedures that programs and visiting teams must follow in order to ensure a uniform accrediting process. This document was last revised in 2012; it will be revised again in 2015 and subsequently in two-year intervals. </w:t>
      </w:r>
    </w:p>
    <w:p w14:paraId="7F8066F7" w14:textId="5D37649C" w:rsidR="00774FF8" w:rsidRPr="00C77F4E" w:rsidRDefault="00774FF8" w:rsidP="001B63D0">
      <w:pPr>
        <w:spacing w:after="120" w:line="240" w:lineRule="auto"/>
        <w:rPr>
          <w:rFonts w:ascii="Helvetica" w:hAnsi="Helvetica" w:cs="Arial"/>
          <w:bCs/>
          <w:sz w:val="20"/>
          <w:szCs w:val="20"/>
        </w:rPr>
      </w:pPr>
      <w:r w:rsidRPr="00C77F4E">
        <w:rPr>
          <w:rFonts w:ascii="Helvetica" w:hAnsi="Helvetica" w:cs="Arial"/>
          <w:bCs/>
          <w:sz w:val="20"/>
          <w:szCs w:val="20"/>
        </w:rPr>
        <w:t xml:space="preserve">The </w:t>
      </w:r>
      <w:r w:rsidRPr="00C77F4E">
        <w:rPr>
          <w:rFonts w:ascii="Helvetica" w:hAnsi="Helvetica" w:cs="Arial"/>
          <w:bCs/>
          <w:i/>
          <w:sz w:val="20"/>
          <w:szCs w:val="20"/>
        </w:rPr>
        <w:t xml:space="preserve">Guide to the 2014 Conditions and Guidelines for Preparing an Architecture Program Report </w:t>
      </w:r>
      <w:r w:rsidRPr="00C77F4E">
        <w:rPr>
          <w:rFonts w:ascii="Helvetica" w:hAnsi="Helvetica" w:cs="Arial"/>
          <w:bCs/>
          <w:sz w:val="20"/>
          <w:szCs w:val="20"/>
        </w:rPr>
        <w:t xml:space="preserve">(The Guide) provides background information on the development of the </w:t>
      </w:r>
      <w:r w:rsidRPr="00C77F4E">
        <w:rPr>
          <w:rFonts w:ascii="Helvetica" w:hAnsi="Helvetica" w:cs="Arial"/>
          <w:bCs/>
          <w:i/>
          <w:sz w:val="20"/>
          <w:szCs w:val="20"/>
        </w:rPr>
        <w:t>2014 Conditions</w:t>
      </w:r>
      <w:r w:rsidRPr="00C77F4E">
        <w:rPr>
          <w:rFonts w:ascii="Helvetica" w:hAnsi="Helvetica" w:cs="Arial"/>
          <w:bCs/>
          <w:sz w:val="20"/>
          <w:szCs w:val="20"/>
        </w:rPr>
        <w:t xml:space="preserve"> and the instructions for preparing APRs. This document should be considered a complementary to the </w:t>
      </w:r>
      <w:r w:rsidRPr="00C77F4E">
        <w:rPr>
          <w:rFonts w:ascii="Helvetica" w:hAnsi="Helvetica" w:cs="Arial"/>
          <w:bCs/>
          <w:i/>
          <w:sz w:val="20"/>
          <w:szCs w:val="20"/>
        </w:rPr>
        <w:t>Conditions</w:t>
      </w:r>
      <w:r w:rsidRPr="00C77F4E">
        <w:rPr>
          <w:rFonts w:ascii="Helvetica" w:hAnsi="Helvetica" w:cs="Arial"/>
          <w:bCs/>
          <w:sz w:val="20"/>
          <w:szCs w:val="20"/>
        </w:rPr>
        <w:t xml:space="preserve">. </w:t>
      </w:r>
      <w:r w:rsidR="00C77F4E">
        <w:rPr>
          <w:rFonts w:ascii="Helvetica" w:hAnsi="Helvetica" w:cs="Arial"/>
          <w:bCs/>
          <w:sz w:val="20"/>
          <w:szCs w:val="20"/>
        </w:rPr>
        <w:t>This represents the second edition.</w:t>
      </w:r>
    </w:p>
    <w:p w14:paraId="611B8668" w14:textId="3CEB6E8B" w:rsidR="002245F5" w:rsidRPr="00C77F4E" w:rsidRDefault="0047275D" w:rsidP="00C77F4E">
      <w:pPr>
        <w:spacing w:after="120" w:line="240" w:lineRule="auto"/>
        <w:rPr>
          <w:rFonts w:ascii="Helvetica" w:hAnsi="Helvetica" w:cs="Arial"/>
          <w:color w:val="000000"/>
          <w:sz w:val="20"/>
          <w:szCs w:val="20"/>
        </w:rPr>
      </w:pPr>
      <w:r w:rsidRPr="00C77F4E">
        <w:rPr>
          <w:rFonts w:ascii="Helvetica" w:hAnsi="Helvetica" w:cs="Arial"/>
          <w:color w:val="000000"/>
          <w:sz w:val="20"/>
          <w:szCs w:val="20"/>
        </w:rPr>
        <w:t xml:space="preserve">The </w:t>
      </w:r>
      <w:r w:rsidRPr="00C77F4E">
        <w:rPr>
          <w:rFonts w:ascii="Helvetica" w:hAnsi="Helvetica" w:cs="Arial"/>
          <w:i/>
          <w:color w:val="000000"/>
          <w:sz w:val="20"/>
          <w:szCs w:val="20"/>
        </w:rPr>
        <w:t>2014 Conditions for Accreditation</w:t>
      </w:r>
      <w:r w:rsidRPr="00C77F4E">
        <w:rPr>
          <w:rFonts w:ascii="Helvetica" w:hAnsi="Helvetica" w:cs="Arial"/>
          <w:color w:val="000000"/>
          <w:sz w:val="20"/>
          <w:szCs w:val="20"/>
        </w:rPr>
        <w:t xml:space="preserve"> apply to all programs seeking continued accreditation, candidacy, continuation of candidacy, or initial accreditation beginning April 1, 2015.</w:t>
      </w:r>
      <w:r w:rsidR="005C5BCA" w:rsidRPr="00C77F4E">
        <w:rPr>
          <w:rFonts w:ascii="Helvetica" w:hAnsi="Helvetica" w:cs="Arial"/>
          <w:color w:val="000000"/>
          <w:sz w:val="20"/>
          <w:szCs w:val="20"/>
        </w:rPr>
        <w:t xml:space="preserve"> </w:t>
      </w:r>
      <w:r w:rsidR="002245F5" w:rsidRPr="00C77F4E">
        <w:rPr>
          <w:rFonts w:ascii="Helvetica" w:hAnsi="Helvetica"/>
          <w:sz w:val="20"/>
          <w:szCs w:val="20"/>
        </w:rPr>
        <w:t xml:space="preserve">The first visits to be conducted using the </w:t>
      </w:r>
      <w:r w:rsidR="002245F5" w:rsidRPr="00C77F4E">
        <w:rPr>
          <w:rFonts w:ascii="Helvetica" w:hAnsi="Helvetica"/>
          <w:i/>
          <w:sz w:val="20"/>
          <w:szCs w:val="20"/>
        </w:rPr>
        <w:t>2014 Conditions</w:t>
      </w:r>
      <w:r w:rsidR="002245F5" w:rsidRPr="00C77F4E">
        <w:rPr>
          <w:rFonts w:ascii="Helvetica" w:hAnsi="Helvetica"/>
          <w:sz w:val="20"/>
          <w:szCs w:val="20"/>
        </w:rPr>
        <w:t xml:space="preserve"> </w:t>
      </w:r>
      <w:r w:rsidR="00827BED" w:rsidRPr="00C77F4E">
        <w:rPr>
          <w:rFonts w:ascii="Helvetica" w:hAnsi="Helvetica"/>
          <w:sz w:val="20"/>
          <w:szCs w:val="20"/>
        </w:rPr>
        <w:t xml:space="preserve">took place </w:t>
      </w:r>
      <w:r w:rsidR="002245F5" w:rsidRPr="00C77F4E">
        <w:rPr>
          <w:rFonts w:ascii="Helvetica" w:hAnsi="Helvetica"/>
          <w:sz w:val="20"/>
          <w:szCs w:val="20"/>
        </w:rPr>
        <w:t>in 2016.</w:t>
      </w:r>
    </w:p>
    <w:p w14:paraId="2FFF7E30" w14:textId="7291A4B7" w:rsidR="007A61CD" w:rsidRPr="00C77F4E" w:rsidRDefault="003C6D0B" w:rsidP="00673643">
      <w:pPr>
        <w:pStyle w:val="NoSpacing"/>
        <w:spacing w:after="120"/>
        <w:outlineLvl w:val="0"/>
        <w:rPr>
          <w:rFonts w:ascii="Helvetica" w:hAnsi="Helvetica" w:cs="Arial"/>
          <w:sz w:val="20"/>
          <w:szCs w:val="20"/>
        </w:rPr>
      </w:pPr>
      <w:r w:rsidRPr="00C77F4E">
        <w:rPr>
          <w:rFonts w:ascii="Helvetica" w:hAnsi="Helvetica"/>
        </w:rPr>
        <w:br w:type="page"/>
      </w:r>
    </w:p>
    <w:p w14:paraId="37D32774" w14:textId="047985B6" w:rsidR="00956322" w:rsidRPr="00C77F4E" w:rsidRDefault="00956322" w:rsidP="00FC7A43">
      <w:pPr>
        <w:pStyle w:val="Heading1"/>
        <w:spacing w:before="0" w:after="120" w:line="240" w:lineRule="auto"/>
        <w:rPr>
          <w:rFonts w:ascii="Helvetica" w:hAnsi="Helvetica" w:cs="Arial"/>
          <w:b w:val="0"/>
          <w:i/>
          <w:smallCaps/>
          <w:sz w:val="20"/>
          <w:szCs w:val="20"/>
        </w:rPr>
      </w:pPr>
      <w:bookmarkStart w:id="5" w:name="_Toc462758514"/>
      <w:r w:rsidRPr="00C77F4E">
        <w:rPr>
          <w:rFonts w:ascii="Helvetica" w:hAnsi="Helvetica" w:cs="Arial"/>
          <w:b w:val="0"/>
          <w:smallCaps/>
          <w:color w:val="auto"/>
          <w:sz w:val="20"/>
          <w:szCs w:val="20"/>
        </w:rPr>
        <w:t xml:space="preserve">Significant Differences Between the Final Edition and the </w:t>
      </w:r>
      <w:r w:rsidRPr="00C77F4E">
        <w:rPr>
          <w:rFonts w:ascii="Helvetica" w:hAnsi="Helvetica" w:cs="Arial"/>
          <w:b w:val="0"/>
          <w:i/>
          <w:smallCaps/>
          <w:color w:val="auto"/>
          <w:sz w:val="20"/>
          <w:szCs w:val="20"/>
        </w:rPr>
        <w:t>2009 Conditions for Accreditation</w:t>
      </w:r>
      <w:bookmarkEnd w:id="5"/>
    </w:p>
    <w:p w14:paraId="3A9D67E1" w14:textId="77777777" w:rsidR="006416BB" w:rsidRPr="00C77F4E" w:rsidRDefault="006416BB" w:rsidP="006416BB">
      <w:pPr>
        <w:pStyle w:val="NoSpacing"/>
        <w:spacing w:after="120"/>
        <w:rPr>
          <w:rFonts w:ascii="Helvetica" w:hAnsi="Helvetica" w:cs="Arial"/>
          <w:sz w:val="20"/>
          <w:szCs w:val="20"/>
        </w:rPr>
      </w:pPr>
      <w:r w:rsidRPr="00C77F4E">
        <w:rPr>
          <w:rFonts w:ascii="Helvetica" w:hAnsi="Helvetica" w:cs="Arial"/>
          <w:sz w:val="20"/>
          <w:szCs w:val="20"/>
        </w:rPr>
        <w:t xml:space="preserve">The </w:t>
      </w:r>
      <w:r w:rsidRPr="00C77F4E">
        <w:rPr>
          <w:rFonts w:ascii="Helvetica" w:hAnsi="Helvetica" w:cs="Arial"/>
          <w:i/>
          <w:sz w:val="20"/>
          <w:szCs w:val="20"/>
        </w:rPr>
        <w:t xml:space="preserve">2014 NAAB Conditions for Accreditation </w:t>
      </w:r>
      <w:r w:rsidRPr="00C77F4E">
        <w:rPr>
          <w:rFonts w:ascii="Helvetica" w:hAnsi="Helvetica" w:cs="Arial"/>
          <w:sz w:val="20"/>
          <w:szCs w:val="20"/>
        </w:rPr>
        <w:t>represents the NAAB’s</w:t>
      </w:r>
      <w:r w:rsidR="00956322" w:rsidRPr="00C77F4E">
        <w:rPr>
          <w:rFonts w:ascii="Helvetica" w:hAnsi="Helvetica" w:cs="Arial"/>
          <w:sz w:val="20"/>
          <w:szCs w:val="20"/>
        </w:rPr>
        <w:t xml:space="preserve"> </w:t>
      </w:r>
      <w:r w:rsidRPr="00C77F4E">
        <w:rPr>
          <w:rFonts w:ascii="Helvetica" w:hAnsi="Helvetica" w:cs="Arial"/>
          <w:sz w:val="20"/>
          <w:szCs w:val="20"/>
        </w:rPr>
        <w:t>best effort to synthesize the outcomes of ARC13</w:t>
      </w:r>
      <w:r w:rsidR="00956322" w:rsidRPr="00C77F4E">
        <w:rPr>
          <w:rFonts w:ascii="Helvetica" w:hAnsi="Helvetica" w:cs="Arial"/>
          <w:sz w:val="20"/>
          <w:szCs w:val="20"/>
        </w:rPr>
        <w:t xml:space="preserve"> and the public comment received since August 2013</w:t>
      </w:r>
      <w:r w:rsidRPr="00C77F4E">
        <w:rPr>
          <w:rFonts w:ascii="Helvetica" w:hAnsi="Helvetica" w:cs="Arial"/>
          <w:sz w:val="20"/>
          <w:szCs w:val="20"/>
        </w:rPr>
        <w:t>. While a number of these revisions are modest, there are several that are significant. They are highlighted here:</w:t>
      </w:r>
    </w:p>
    <w:p w14:paraId="43A6FB4E" w14:textId="77777777" w:rsidR="006416BB" w:rsidRPr="00C77F4E" w:rsidRDefault="006416BB" w:rsidP="009F36C5">
      <w:pPr>
        <w:pStyle w:val="NoSpacing"/>
        <w:numPr>
          <w:ilvl w:val="0"/>
          <w:numId w:val="34"/>
        </w:numPr>
        <w:spacing w:after="120"/>
        <w:rPr>
          <w:rFonts w:ascii="Helvetica" w:hAnsi="Helvetica" w:cs="Arial"/>
          <w:sz w:val="20"/>
          <w:szCs w:val="20"/>
        </w:rPr>
      </w:pPr>
      <w:r w:rsidRPr="00C77F4E">
        <w:rPr>
          <w:rFonts w:ascii="Helvetica" w:hAnsi="Helvetica" w:cs="Arial"/>
          <w:sz w:val="20"/>
          <w:szCs w:val="20"/>
        </w:rPr>
        <w:t>The first noticeable difference is the absence of instructions and the phase “The APR must include…” followed by a long list of documents, tables following each condition. The NAAB felt strongly that this type of material should be captured in an advisory document that could be revised annually based on best practices, surveys and visit evaluations. The Board also felt strongly that many of these instructions had calcified over time and were losing relevance in the process. By removing them, the NAAB believed programs would be given greater flexibility to respond to each condition within its own context.</w:t>
      </w:r>
    </w:p>
    <w:p w14:paraId="7803ADA2" w14:textId="77777777" w:rsidR="006416BB" w:rsidRPr="00C77F4E" w:rsidRDefault="006416BB" w:rsidP="009F36C5">
      <w:pPr>
        <w:pStyle w:val="ListParagraph"/>
        <w:numPr>
          <w:ilvl w:val="0"/>
          <w:numId w:val="34"/>
        </w:numPr>
        <w:spacing w:after="120" w:line="240" w:lineRule="auto"/>
        <w:rPr>
          <w:rFonts w:ascii="Helvetica" w:hAnsi="Helvetica" w:cs="Arial"/>
          <w:bCs/>
          <w:sz w:val="20"/>
          <w:szCs w:val="20"/>
        </w:rPr>
      </w:pPr>
      <w:r w:rsidRPr="00C77F4E">
        <w:rPr>
          <w:rFonts w:ascii="Helvetica" w:hAnsi="Helvetica" w:cs="Arial"/>
          <w:bCs/>
          <w:sz w:val="20"/>
          <w:szCs w:val="20"/>
        </w:rPr>
        <w:t>Wherever possible, the NAAB clarified whether programs “must” or “should” provide information, documentation, or other materials in support of its self-evaluation.</w:t>
      </w:r>
    </w:p>
    <w:p w14:paraId="402918F0" w14:textId="77777777" w:rsidR="006416BB" w:rsidRPr="00C77F4E" w:rsidRDefault="006416BB" w:rsidP="009F36C5">
      <w:pPr>
        <w:pStyle w:val="ListParagraph"/>
        <w:numPr>
          <w:ilvl w:val="0"/>
          <w:numId w:val="34"/>
        </w:numPr>
        <w:spacing w:after="120" w:line="240" w:lineRule="auto"/>
        <w:rPr>
          <w:rFonts w:ascii="Helvetica" w:hAnsi="Helvetica" w:cs="Arial"/>
          <w:bCs/>
          <w:sz w:val="20"/>
          <w:szCs w:val="20"/>
        </w:rPr>
      </w:pPr>
      <w:r w:rsidRPr="00C77F4E">
        <w:rPr>
          <w:rFonts w:ascii="Helvetica" w:hAnsi="Helvetica" w:cs="Arial"/>
          <w:bCs/>
          <w:sz w:val="20"/>
          <w:szCs w:val="20"/>
        </w:rPr>
        <w:t>Next, the NAAB carefully considered ways to re-balance institutional commitment to continuous improvement (Part I) and educational outcomes and curriculum (Part II) with a view toward shifting the time and attention of visiting teams toward Part II. To that end, the NAAB is in the process of changing the format for the Architecture Program Report (APR), instructions to teams regarding review of materials that support a program’s responses to the requirements of Part I, and the format both for the visit and the Visiting Team Report (VTR). This is expected to redistribute the visit workload so that more verification and review takes place in advance of the visit, while onsite work can focus on student learning and progress since the previous visit.</w:t>
      </w:r>
    </w:p>
    <w:p w14:paraId="03AE770C" w14:textId="77777777" w:rsidR="006416BB" w:rsidRPr="00C77F4E" w:rsidRDefault="006416BB" w:rsidP="009F36C5">
      <w:pPr>
        <w:pStyle w:val="Default"/>
        <w:numPr>
          <w:ilvl w:val="0"/>
          <w:numId w:val="34"/>
        </w:numPr>
        <w:spacing w:after="120"/>
        <w:rPr>
          <w:rFonts w:ascii="Helvetica" w:hAnsi="Helvetica"/>
          <w:color w:val="auto"/>
          <w:sz w:val="20"/>
          <w:szCs w:val="20"/>
        </w:rPr>
      </w:pPr>
      <w:r w:rsidRPr="00C77F4E">
        <w:rPr>
          <w:rFonts w:ascii="Helvetica" w:hAnsi="Helvetica"/>
          <w:bCs/>
          <w:sz w:val="20"/>
          <w:szCs w:val="20"/>
        </w:rPr>
        <w:t>The</w:t>
      </w:r>
      <w:r w:rsidR="00956322" w:rsidRPr="00C77F4E">
        <w:rPr>
          <w:rFonts w:ascii="Helvetica" w:hAnsi="Helvetica"/>
          <w:bCs/>
          <w:sz w:val="20"/>
          <w:szCs w:val="20"/>
        </w:rPr>
        <w:t xml:space="preserve">re are </w:t>
      </w:r>
      <w:r w:rsidRPr="00C77F4E">
        <w:rPr>
          <w:rFonts w:ascii="Helvetica" w:hAnsi="Helvetica"/>
          <w:bCs/>
          <w:sz w:val="20"/>
          <w:szCs w:val="20"/>
        </w:rPr>
        <w:t xml:space="preserve">five new perspectives. These </w:t>
      </w:r>
      <w:r w:rsidR="00956322" w:rsidRPr="00C77F4E">
        <w:rPr>
          <w:rFonts w:ascii="Helvetica" w:hAnsi="Helvetica"/>
          <w:bCs/>
          <w:sz w:val="20"/>
          <w:szCs w:val="20"/>
        </w:rPr>
        <w:t xml:space="preserve">identify </w:t>
      </w:r>
      <w:r w:rsidRPr="00C77F4E">
        <w:rPr>
          <w:rFonts w:ascii="Helvetica" w:hAnsi="Helvetica"/>
          <w:color w:val="auto"/>
          <w:sz w:val="20"/>
          <w:szCs w:val="20"/>
        </w:rPr>
        <w:t xml:space="preserve">values and core principles held in common throughout the profession and the academy relative to </w:t>
      </w:r>
      <w:r w:rsidR="00956322" w:rsidRPr="00C77F4E">
        <w:rPr>
          <w:rFonts w:ascii="Helvetica" w:hAnsi="Helvetica"/>
          <w:color w:val="auto"/>
          <w:sz w:val="20"/>
          <w:szCs w:val="20"/>
        </w:rPr>
        <w:t xml:space="preserve">both the </w:t>
      </w:r>
      <w:r w:rsidRPr="00C77F4E">
        <w:rPr>
          <w:rFonts w:ascii="Helvetica" w:hAnsi="Helvetica"/>
          <w:color w:val="auto"/>
          <w:sz w:val="20"/>
          <w:szCs w:val="20"/>
        </w:rPr>
        <w:t>practice and discipline of architecture</w:t>
      </w:r>
      <w:r w:rsidR="00956322" w:rsidRPr="00C77F4E">
        <w:rPr>
          <w:rFonts w:ascii="Helvetica" w:hAnsi="Helvetica"/>
          <w:color w:val="auto"/>
          <w:sz w:val="20"/>
          <w:szCs w:val="20"/>
        </w:rPr>
        <w:t>.</w:t>
      </w:r>
      <w:r w:rsidRPr="00C77F4E">
        <w:rPr>
          <w:rFonts w:ascii="Helvetica" w:hAnsi="Helvetica"/>
          <w:color w:val="auto"/>
          <w:sz w:val="20"/>
          <w:szCs w:val="20"/>
        </w:rPr>
        <w:t xml:space="preserve"> SPC have been culled out of these five statements and either applied to specific SPC in Condition II.1 or</w:t>
      </w:r>
      <w:r w:rsidR="00956322" w:rsidRPr="00C77F4E">
        <w:rPr>
          <w:rFonts w:ascii="Helvetica" w:hAnsi="Helvetica"/>
          <w:color w:val="auto"/>
          <w:sz w:val="20"/>
          <w:szCs w:val="20"/>
        </w:rPr>
        <w:t xml:space="preserve"> deleted as redundant. The five, new </w:t>
      </w:r>
      <w:r w:rsidRPr="00C77F4E">
        <w:rPr>
          <w:rFonts w:ascii="Helvetica" w:hAnsi="Helvetica"/>
          <w:color w:val="auto"/>
          <w:sz w:val="20"/>
          <w:szCs w:val="20"/>
        </w:rPr>
        <w:t>perspectives are:</w:t>
      </w:r>
    </w:p>
    <w:p w14:paraId="5719C240" w14:textId="77777777" w:rsidR="006416BB" w:rsidRPr="00C77F4E" w:rsidRDefault="006416BB" w:rsidP="009F36C5">
      <w:pPr>
        <w:pStyle w:val="Default"/>
        <w:numPr>
          <w:ilvl w:val="1"/>
          <w:numId w:val="34"/>
        </w:numPr>
        <w:spacing w:after="120"/>
        <w:rPr>
          <w:rFonts w:ascii="Helvetica" w:hAnsi="Helvetica"/>
          <w:color w:val="auto"/>
          <w:sz w:val="20"/>
          <w:szCs w:val="20"/>
        </w:rPr>
      </w:pPr>
      <w:r w:rsidRPr="00C77F4E">
        <w:rPr>
          <w:rFonts w:ascii="Helvetica" w:hAnsi="Helvetica"/>
          <w:color w:val="auto"/>
          <w:sz w:val="20"/>
          <w:szCs w:val="20"/>
        </w:rPr>
        <w:t>Leadership and Collaboration</w:t>
      </w:r>
    </w:p>
    <w:p w14:paraId="123E089D" w14:textId="77777777" w:rsidR="006416BB" w:rsidRPr="00C77F4E" w:rsidRDefault="00891880" w:rsidP="009F36C5">
      <w:pPr>
        <w:pStyle w:val="Default"/>
        <w:numPr>
          <w:ilvl w:val="1"/>
          <w:numId w:val="34"/>
        </w:numPr>
        <w:spacing w:after="120"/>
        <w:rPr>
          <w:rFonts w:ascii="Helvetica" w:hAnsi="Helvetica"/>
          <w:color w:val="auto"/>
          <w:sz w:val="20"/>
          <w:szCs w:val="20"/>
        </w:rPr>
      </w:pPr>
      <w:r w:rsidRPr="00C77F4E">
        <w:rPr>
          <w:rFonts w:ascii="Helvetica" w:hAnsi="Helvetica"/>
          <w:color w:val="auto"/>
          <w:sz w:val="20"/>
          <w:szCs w:val="20"/>
        </w:rPr>
        <w:t>Design</w:t>
      </w:r>
    </w:p>
    <w:p w14:paraId="70DD3012" w14:textId="77777777" w:rsidR="006416BB" w:rsidRPr="00C77F4E" w:rsidRDefault="00891880" w:rsidP="009F36C5">
      <w:pPr>
        <w:pStyle w:val="Default"/>
        <w:numPr>
          <w:ilvl w:val="1"/>
          <w:numId w:val="34"/>
        </w:numPr>
        <w:spacing w:after="120"/>
        <w:rPr>
          <w:rFonts w:ascii="Helvetica" w:hAnsi="Helvetica"/>
          <w:color w:val="auto"/>
          <w:sz w:val="20"/>
          <w:szCs w:val="20"/>
        </w:rPr>
      </w:pPr>
      <w:r w:rsidRPr="00C77F4E">
        <w:rPr>
          <w:rFonts w:ascii="Helvetica" w:hAnsi="Helvetica"/>
          <w:color w:val="auto"/>
          <w:sz w:val="20"/>
          <w:szCs w:val="20"/>
        </w:rPr>
        <w:t>Professional Opportunity</w:t>
      </w:r>
    </w:p>
    <w:p w14:paraId="708A15DA" w14:textId="77777777" w:rsidR="006416BB" w:rsidRPr="00C77F4E" w:rsidRDefault="006416BB" w:rsidP="009F36C5">
      <w:pPr>
        <w:pStyle w:val="Default"/>
        <w:numPr>
          <w:ilvl w:val="1"/>
          <w:numId w:val="34"/>
        </w:numPr>
        <w:spacing w:after="120"/>
        <w:rPr>
          <w:rFonts w:ascii="Helvetica" w:hAnsi="Helvetica"/>
          <w:color w:val="auto"/>
          <w:sz w:val="20"/>
          <w:szCs w:val="20"/>
        </w:rPr>
      </w:pPr>
      <w:r w:rsidRPr="00C77F4E">
        <w:rPr>
          <w:rFonts w:ascii="Helvetica" w:hAnsi="Helvetica"/>
          <w:color w:val="auto"/>
          <w:sz w:val="20"/>
          <w:szCs w:val="20"/>
        </w:rPr>
        <w:t>Stewardship of the Environment</w:t>
      </w:r>
    </w:p>
    <w:p w14:paraId="7C753B03" w14:textId="77777777" w:rsidR="006416BB" w:rsidRPr="00C77F4E" w:rsidRDefault="006416BB" w:rsidP="009F36C5">
      <w:pPr>
        <w:pStyle w:val="Default"/>
        <w:numPr>
          <w:ilvl w:val="1"/>
          <w:numId w:val="34"/>
        </w:numPr>
        <w:spacing w:after="120"/>
        <w:rPr>
          <w:rFonts w:ascii="Helvetica" w:hAnsi="Helvetica"/>
          <w:color w:val="auto"/>
          <w:sz w:val="20"/>
          <w:szCs w:val="20"/>
        </w:rPr>
      </w:pPr>
      <w:r w:rsidRPr="00C77F4E">
        <w:rPr>
          <w:rFonts w:ascii="Helvetica" w:hAnsi="Helvetica"/>
          <w:color w:val="auto"/>
          <w:sz w:val="20"/>
          <w:szCs w:val="20"/>
        </w:rPr>
        <w:t>Community and Social Responsibility</w:t>
      </w:r>
    </w:p>
    <w:p w14:paraId="3865D4CE" w14:textId="77777777" w:rsidR="006416BB" w:rsidRPr="00C77F4E" w:rsidRDefault="006416BB" w:rsidP="009F36C5">
      <w:pPr>
        <w:pStyle w:val="ListParagraph"/>
        <w:numPr>
          <w:ilvl w:val="0"/>
          <w:numId w:val="34"/>
        </w:numPr>
        <w:spacing w:after="120" w:line="240" w:lineRule="auto"/>
        <w:rPr>
          <w:rFonts w:ascii="Helvetica" w:hAnsi="Helvetica" w:cs="Arial"/>
          <w:bCs/>
          <w:sz w:val="20"/>
          <w:szCs w:val="20"/>
        </w:rPr>
      </w:pPr>
      <w:r w:rsidRPr="00C77F4E">
        <w:rPr>
          <w:rFonts w:ascii="Helvetica" w:hAnsi="Helvetica" w:cs="Arial"/>
          <w:bCs/>
          <w:sz w:val="20"/>
          <w:szCs w:val="20"/>
        </w:rPr>
        <w:t>Condition I.3, Institutional and Program Characteristics, has been eliminated. All the material requested under Conditions I.3.1 and I.3.3 has been moved to the instructions for providing s</w:t>
      </w:r>
      <w:r w:rsidR="00956322" w:rsidRPr="00C77F4E">
        <w:rPr>
          <w:rFonts w:ascii="Helvetica" w:hAnsi="Helvetica" w:cs="Arial"/>
          <w:bCs/>
          <w:sz w:val="20"/>
          <w:szCs w:val="20"/>
        </w:rPr>
        <w:t xml:space="preserve">upplemental material in the APR. </w:t>
      </w:r>
      <w:r w:rsidRPr="00C77F4E">
        <w:rPr>
          <w:rFonts w:ascii="Helvetica" w:hAnsi="Helvetica" w:cs="Arial"/>
          <w:bCs/>
          <w:sz w:val="20"/>
          <w:szCs w:val="20"/>
        </w:rPr>
        <w:t>This material will no longer be assessed as part of a visit. Instead it will be used to inform the team’s review and affirmation of Condition I.2.1 Human Resources and Human Resource Development. Condition I.3.2 has been moved to a new Part III regarding the submission of annual statistical reports and interim progress reports.</w:t>
      </w:r>
    </w:p>
    <w:p w14:paraId="35A1C046" w14:textId="77777777" w:rsidR="006416BB" w:rsidRPr="00C77F4E" w:rsidRDefault="006416BB" w:rsidP="009F36C5">
      <w:pPr>
        <w:pStyle w:val="ListParagraph"/>
        <w:numPr>
          <w:ilvl w:val="0"/>
          <w:numId w:val="34"/>
        </w:numPr>
        <w:spacing w:after="120" w:line="240" w:lineRule="auto"/>
        <w:rPr>
          <w:rFonts w:ascii="Helvetica" w:hAnsi="Helvetica" w:cs="Arial"/>
          <w:bCs/>
          <w:sz w:val="20"/>
          <w:szCs w:val="20"/>
        </w:rPr>
      </w:pPr>
      <w:r w:rsidRPr="00C77F4E">
        <w:rPr>
          <w:rFonts w:ascii="Helvetica" w:hAnsi="Helvetica" w:cs="Arial"/>
          <w:bCs/>
          <w:sz w:val="20"/>
          <w:szCs w:val="20"/>
        </w:rPr>
        <w:t>Condition I.4 Policy Review, has been eliminated. All the material requested under this condition has been moved to the instructions for providing supplemental material in the APR. This material will no longer be assessed as part of a visit. Instead it will be used to inform the team’s review of Part I.</w:t>
      </w:r>
    </w:p>
    <w:p w14:paraId="195A0451" w14:textId="77777777" w:rsidR="006416BB" w:rsidRPr="00C77F4E" w:rsidRDefault="006416BB" w:rsidP="009F36C5">
      <w:pPr>
        <w:pStyle w:val="ListParagraph"/>
        <w:numPr>
          <w:ilvl w:val="0"/>
          <w:numId w:val="34"/>
        </w:numPr>
        <w:spacing w:after="120" w:line="240" w:lineRule="auto"/>
        <w:rPr>
          <w:rFonts w:ascii="Helvetica" w:hAnsi="Helvetica" w:cs="Arial"/>
          <w:bCs/>
          <w:sz w:val="20"/>
          <w:szCs w:val="20"/>
        </w:rPr>
      </w:pPr>
      <w:r w:rsidRPr="00C77F4E">
        <w:rPr>
          <w:rFonts w:ascii="Helvetica" w:hAnsi="Helvetica" w:cs="Arial"/>
          <w:bCs/>
          <w:sz w:val="20"/>
          <w:szCs w:val="20"/>
        </w:rPr>
        <w:t>The NAAB</w:t>
      </w:r>
      <w:r w:rsidR="00956322" w:rsidRPr="00C77F4E">
        <w:rPr>
          <w:rFonts w:ascii="Helvetica" w:hAnsi="Helvetica" w:cs="Arial"/>
          <w:bCs/>
          <w:sz w:val="20"/>
          <w:szCs w:val="20"/>
        </w:rPr>
        <w:t xml:space="preserve"> has reduced </w:t>
      </w:r>
      <w:r w:rsidRPr="00C77F4E">
        <w:rPr>
          <w:rFonts w:ascii="Helvetica" w:hAnsi="Helvetica" w:cs="Arial"/>
          <w:bCs/>
          <w:sz w:val="20"/>
          <w:szCs w:val="20"/>
        </w:rPr>
        <w:t xml:space="preserve">the number of SPC to </w:t>
      </w:r>
      <w:r w:rsidR="0042188B" w:rsidRPr="00C77F4E">
        <w:rPr>
          <w:rFonts w:ascii="Helvetica" w:hAnsi="Helvetica" w:cs="Arial"/>
          <w:bCs/>
          <w:sz w:val="20"/>
          <w:szCs w:val="20"/>
        </w:rPr>
        <w:t>26</w:t>
      </w:r>
      <w:r w:rsidRPr="00C77F4E">
        <w:rPr>
          <w:rFonts w:ascii="Helvetica" w:hAnsi="Helvetica" w:cs="Arial"/>
          <w:bCs/>
          <w:sz w:val="20"/>
          <w:szCs w:val="20"/>
        </w:rPr>
        <w:t>. This has been achieved by eliminating redundancies and combining SPC where appropriate. Where SPC expressed a value or core principle, they were edited into the new perspectives, as appropriate, and then deleted from II.1.</w:t>
      </w:r>
    </w:p>
    <w:p w14:paraId="2D644476" w14:textId="77777777" w:rsidR="00561032" w:rsidRPr="00C77F4E" w:rsidRDefault="00561032" w:rsidP="009F36C5">
      <w:pPr>
        <w:pStyle w:val="ListParagraph"/>
        <w:numPr>
          <w:ilvl w:val="0"/>
          <w:numId w:val="34"/>
        </w:numPr>
        <w:spacing w:after="120" w:line="240" w:lineRule="auto"/>
        <w:rPr>
          <w:rFonts w:ascii="Helvetica" w:hAnsi="Helvetica" w:cs="Arial"/>
          <w:bCs/>
          <w:sz w:val="20"/>
          <w:szCs w:val="20"/>
        </w:rPr>
      </w:pPr>
      <w:r w:rsidRPr="00C77F4E">
        <w:rPr>
          <w:rFonts w:ascii="Helvetica" w:hAnsi="Helvetica" w:cs="Arial"/>
          <w:bCs/>
          <w:sz w:val="20"/>
          <w:szCs w:val="20"/>
        </w:rPr>
        <w:t xml:space="preserve">Based on input at ARC13, the NAAB made a conscious decision to </w:t>
      </w:r>
      <w:r w:rsidR="00734113" w:rsidRPr="00C77F4E">
        <w:rPr>
          <w:rFonts w:ascii="Helvetica" w:hAnsi="Helvetica" w:cs="Arial"/>
          <w:bCs/>
          <w:sz w:val="20"/>
          <w:szCs w:val="20"/>
        </w:rPr>
        <w:t xml:space="preserve">establish a perspective on environmental stewardship and also to </w:t>
      </w:r>
      <w:r w:rsidRPr="00C77F4E">
        <w:rPr>
          <w:rFonts w:ascii="Helvetica" w:hAnsi="Helvetica" w:cs="Arial"/>
          <w:bCs/>
          <w:sz w:val="20"/>
          <w:szCs w:val="20"/>
        </w:rPr>
        <w:t>embed responsibility for the environment and sustainable practices</w:t>
      </w:r>
      <w:r w:rsidR="00734113" w:rsidRPr="00C77F4E">
        <w:rPr>
          <w:rFonts w:ascii="Helvetica" w:hAnsi="Helvetica" w:cs="Arial"/>
          <w:bCs/>
          <w:sz w:val="20"/>
          <w:szCs w:val="20"/>
        </w:rPr>
        <w:t xml:space="preserve"> into several SPC.</w:t>
      </w:r>
      <w:r w:rsidRPr="00C77F4E">
        <w:rPr>
          <w:rFonts w:ascii="Helvetica" w:hAnsi="Helvetica" w:cs="Arial"/>
          <w:bCs/>
          <w:sz w:val="20"/>
          <w:szCs w:val="20"/>
        </w:rPr>
        <w:t xml:space="preserve"> ARC13 participants believed that a stand-alone SCP on sustainability </w:t>
      </w:r>
      <w:r w:rsidR="00734113" w:rsidRPr="00C77F4E">
        <w:rPr>
          <w:rFonts w:ascii="Helvetica" w:hAnsi="Helvetica" w:cs="Arial"/>
          <w:bCs/>
          <w:sz w:val="20"/>
          <w:szCs w:val="20"/>
        </w:rPr>
        <w:t>did not sufficiently express the extent to which environmental considerations needed to be included across the spectrum of design decision-making.</w:t>
      </w:r>
      <w:r w:rsidRPr="00C77F4E">
        <w:rPr>
          <w:rFonts w:ascii="Helvetica" w:hAnsi="Helvetica" w:cs="Arial"/>
          <w:bCs/>
          <w:sz w:val="20"/>
          <w:szCs w:val="20"/>
        </w:rPr>
        <w:t xml:space="preserve"> As a result, the </w:t>
      </w:r>
      <w:r w:rsidR="00734113" w:rsidRPr="00C77F4E">
        <w:rPr>
          <w:rFonts w:ascii="Helvetica" w:hAnsi="Helvetica" w:cs="Arial"/>
          <w:bCs/>
          <w:sz w:val="20"/>
          <w:szCs w:val="20"/>
        </w:rPr>
        <w:t xml:space="preserve">specific </w:t>
      </w:r>
      <w:r w:rsidRPr="00C77F4E">
        <w:rPr>
          <w:rFonts w:ascii="Helvetica" w:hAnsi="Helvetica" w:cs="Arial"/>
          <w:bCs/>
          <w:sz w:val="20"/>
          <w:szCs w:val="20"/>
        </w:rPr>
        <w:t xml:space="preserve">SPC on sustainability was eliminated. </w:t>
      </w:r>
    </w:p>
    <w:p w14:paraId="7AA31CB5" w14:textId="77777777" w:rsidR="006416BB" w:rsidRPr="00C77F4E" w:rsidRDefault="006416BB" w:rsidP="009F36C5">
      <w:pPr>
        <w:pStyle w:val="ListParagraph"/>
        <w:numPr>
          <w:ilvl w:val="0"/>
          <w:numId w:val="34"/>
        </w:numPr>
        <w:spacing w:after="120" w:line="240" w:lineRule="auto"/>
        <w:rPr>
          <w:rFonts w:ascii="Helvetica" w:hAnsi="Helvetica" w:cs="Arial"/>
          <w:bCs/>
          <w:sz w:val="20"/>
          <w:szCs w:val="20"/>
        </w:rPr>
      </w:pPr>
      <w:r w:rsidRPr="00C77F4E">
        <w:rPr>
          <w:rFonts w:ascii="Helvetica" w:hAnsi="Helvetica" w:cs="Arial"/>
          <w:bCs/>
          <w:sz w:val="20"/>
          <w:szCs w:val="20"/>
        </w:rPr>
        <w:t xml:space="preserve">The NAAB is proposing a fourth realm, Realm </w:t>
      </w:r>
      <w:r w:rsidR="00956322" w:rsidRPr="00C77F4E">
        <w:rPr>
          <w:rFonts w:ascii="Helvetica" w:hAnsi="Helvetica" w:cs="Arial"/>
          <w:bCs/>
          <w:sz w:val="20"/>
          <w:szCs w:val="20"/>
        </w:rPr>
        <w:t>C</w:t>
      </w:r>
      <w:r w:rsidRPr="00C77F4E">
        <w:rPr>
          <w:rFonts w:ascii="Helvetica" w:hAnsi="Helvetica" w:cs="Arial"/>
          <w:bCs/>
          <w:sz w:val="20"/>
          <w:szCs w:val="20"/>
        </w:rPr>
        <w:t xml:space="preserve">, to address student achievement for comprehensive or integrative design. </w:t>
      </w:r>
      <w:r w:rsidR="0042188B" w:rsidRPr="00C77F4E">
        <w:rPr>
          <w:rFonts w:ascii="Helvetica" w:hAnsi="Helvetica" w:cs="Arial"/>
          <w:sz w:val="20"/>
          <w:szCs w:val="20"/>
        </w:rPr>
        <w:t xml:space="preserve">This realm is about the ability to demonstrate the full scope of integrative thinking that shapes complex design and technical solutions. Beginning with research and selection, proceeding through decision-making, and concluding with documentation. </w:t>
      </w:r>
      <w:r w:rsidRPr="00C77F4E">
        <w:rPr>
          <w:rFonts w:ascii="Helvetica" w:hAnsi="Helvetica" w:cs="Arial"/>
          <w:bCs/>
          <w:sz w:val="20"/>
          <w:szCs w:val="20"/>
        </w:rPr>
        <w:t>This recommendation was clearly supported by ARC13 participants.</w:t>
      </w:r>
    </w:p>
    <w:p w14:paraId="5E9154A5" w14:textId="77777777" w:rsidR="006416BB" w:rsidRPr="00C77F4E" w:rsidRDefault="006416BB" w:rsidP="009F36C5">
      <w:pPr>
        <w:pStyle w:val="ListParagraph"/>
        <w:numPr>
          <w:ilvl w:val="0"/>
          <w:numId w:val="34"/>
        </w:numPr>
        <w:spacing w:after="120" w:line="240" w:lineRule="auto"/>
        <w:rPr>
          <w:rFonts w:ascii="Helvetica" w:hAnsi="Helvetica" w:cs="Arial"/>
          <w:bCs/>
          <w:sz w:val="20"/>
          <w:szCs w:val="20"/>
        </w:rPr>
      </w:pPr>
      <w:r w:rsidRPr="00C77F4E">
        <w:rPr>
          <w:rFonts w:ascii="Helvetica" w:hAnsi="Helvetica" w:cs="Arial"/>
          <w:bCs/>
          <w:sz w:val="20"/>
          <w:szCs w:val="20"/>
        </w:rPr>
        <w:t xml:space="preserve">The NAAB has </w:t>
      </w:r>
      <w:r w:rsidR="0042188B" w:rsidRPr="00C77F4E">
        <w:rPr>
          <w:rFonts w:ascii="Helvetica" w:hAnsi="Helvetica" w:cs="Arial"/>
          <w:bCs/>
          <w:sz w:val="20"/>
          <w:szCs w:val="20"/>
        </w:rPr>
        <w:t>revised the c</w:t>
      </w:r>
      <w:r w:rsidRPr="00C77F4E">
        <w:rPr>
          <w:rFonts w:ascii="Helvetica" w:hAnsi="Helvetica" w:cs="Arial"/>
          <w:bCs/>
          <w:sz w:val="20"/>
          <w:szCs w:val="20"/>
        </w:rPr>
        <w:t>ondition on Professional Degree</w:t>
      </w:r>
      <w:r w:rsidR="0042188B" w:rsidRPr="00C77F4E">
        <w:rPr>
          <w:rFonts w:ascii="Helvetica" w:hAnsi="Helvetica" w:cs="Arial"/>
          <w:bCs/>
          <w:sz w:val="20"/>
          <w:szCs w:val="20"/>
        </w:rPr>
        <w:t>s and Curriculum (II.2.2). These revisions</w:t>
      </w:r>
      <w:r w:rsidRPr="00C77F4E">
        <w:rPr>
          <w:rFonts w:ascii="Helvetica" w:hAnsi="Helvetica" w:cs="Arial"/>
          <w:bCs/>
          <w:sz w:val="20"/>
          <w:szCs w:val="20"/>
        </w:rPr>
        <w:t xml:space="preserve"> are intended to accomplish several things:</w:t>
      </w:r>
    </w:p>
    <w:p w14:paraId="086938C1" w14:textId="5BF4A981" w:rsidR="006416BB" w:rsidRPr="00C77F4E" w:rsidRDefault="006416BB" w:rsidP="009F36C5">
      <w:pPr>
        <w:pStyle w:val="ListParagraph"/>
        <w:numPr>
          <w:ilvl w:val="1"/>
          <w:numId w:val="34"/>
        </w:numPr>
        <w:spacing w:after="120" w:line="240" w:lineRule="auto"/>
        <w:rPr>
          <w:rFonts w:ascii="Helvetica" w:hAnsi="Helvetica" w:cs="Arial"/>
          <w:bCs/>
          <w:sz w:val="20"/>
          <w:szCs w:val="20"/>
        </w:rPr>
      </w:pPr>
      <w:r w:rsidRPr="00C77F4E">
        <w:rPr>
          <w:rFonts w:ascii="Helvetica" w:hAnsi="Helvetica" w:cs="Arial"/>
          <w:bCs/>
          <w:sz w:val="20"/>
          <w:szCs w:val="20"/>
        </w:rPr>
        <w:t xml:space="preserve">First, to clarify what courses and content </w:t>
      </w:r>
      <w:r w:rsidR="0042188B" w:rsidRPr="00C77F4E">
        <w:rPr>
          <w:rFonts w:ascii="Helvetica" w:hAnsi="Helvetica" w:cs="Arial"/>
          <w:bCs/>
          <w:sz w:val="20"/>
          <w:szCs w:val="20"/>
        </w:rPr>
        <w:t xml:space="preserve">meet the definition for general </w:t>
      </w:r>
      <w:proofErr w:type="gramStart"/>
      <w:r w:rsidR="00E06CF6" w:rsidRPr="00C77F4E">
        <w:rPr>
          <w:rFonts w:ascii="Helvetica" w:hAnsi="Helvetica" w:cs="Arial"/>
          <w:bCs/>
          <w:sz w:val="20"/>
          <w:szCs w:val="20"/>
        </w:rPr>
        <w:t>s</w:t>
      </w:r>
      <w:r w:rsidRPr="00C77F4E">
        <w:rPr>
          <w:rFonts w:ascii="Helvetica" w:hAnsi="Helvetica" w:cs="Arial"/>
          <w:bCs/>
          <w:sz w:val="20"/>
          <w:szCs w:val="20"/>
        </w:rPr>
        <w:t>tudies.</w:t>
      </w:r>
      <w:proofErr w:type="gramEnd"/>
    </w:p>
    <w:p w14:paraId="47B2EC6D" w14:textId="77777777" w:rsidR="006416BB" w:rsidRPr="00C77F4E" w:rsidRDefault="006416BB" w:rsidP="009F36C5">
      <w:pPr>
        <w:pStyle w:val="ListParagraph"/>
        <w:numPr>
          <w:ilvl w:val="1"/>
          <w:numId w:val="34"/>
        </w:numPr>
        <w:spacing w:after="120" w:line="240" w:lineRule="auto"/>
        <w:rPr>
          <w:rFonts w:ascii="Helvetica" w:hAnsi="Helvetica" w:cs="Arial"/>
          <w:bCs/>
          <w:sz w:val="20"/>
          <w:szCs w:val="20"/>
        </w:rPr>
      </w:pPr>
      <w:r w:rsidRPr="00C77F4E">
        <w:rPr>
          <w:rFonts w:ascii="Helvetica" w:hAnsi="Helvetica" w:cs="Arial"/>
          <w:bCs/>
          <w:sz w:val="20"/>
          <w:szCs w:val="20"/>
        </w:rPr>
        <w:t>Second, to remove the burden of remediating general studies requirements for students admitted to M. Arch. or D. Arch. programs that require an undergraduate degree for admission.</w:t>
      </w:r>
    </w:p>
    <w:p w14:paraId="3624E0CC" w14:textId="77777777" w:rsidR="006416BB" w:rsidRPr="00C77F4E" w:rsidRDefault="006416BB" w:rsidP="009F36C5">
      <w:pPr>
        <w:pStyle w:val="ListParagraph"/>
        <w:numPr>
          <w:ilvl w:val="1"/>
          <w:numId w:val="34"/>
        </w:numPr>
        <w:spacing w:after="120" w:line="240" w:lineRule="auto"/>
        <w:rPr>
          <w:rFonts w:ascii="Helvetica" w:hAnsi="Helvetica" w:cs="Arial"/>
          <w:bCs/>
          <w:sz w:val="20"/>
          <w:szCs w:val="20"/>
        </w:rPr>
      </w:pPr>
      <w:r w:rsidRPr="00C77F4E">
        <w:rPr>
          <w:rFonts w:ascii="Helvetica" w:hAnsi="Helvetica" w:cs="Arial"/>
          <w:bCs/>
          <w:sz w:val="20"/>
          <w:szCs w:val="20"/>
        </w:rPr>
        <w:t>Finally, the NAAB has made the titles B. Arch., M. Arch. and D. Arch. exclusive to the NAAB-accredited degree.</w:t>
      </w:r>
    </w:p>
    <w:p w14:paraId="3FD0CBB9" w14:textId="77777777" w:rsidR="006416BB" w:rsidRPr="00C77F4E" w:rsidRDefault="0042188B" w:rsidP="009F36C5">
      <w:pPr>
        <w:pStyle w:val="ListParagraph"/>
        <w:numPr>
          <w:ilvl w:val="0"/>
          <w:numId w:val="34"/>
        </w:numPr>
        <w:spacing w:after="120" w:line="240" w:lineRule="auto"/>
        <w:rPr>
          <w:rFonts w:ascii="Helvetica" w:hAnsi="Helvetica" w:cs="Arial"/>
          <w:bCs/>
          <w:sz w:val="20"/>
          <w:szCs w:val="20"/>
        </w:rPr>
      </w:pPr>
      <w:r w:rsidRPr="00C77F4E">
        <w:rPr>
          <w:rFonts w:ascii="Helvetica" w:hAnsi="Helvetica" w:cs="Arial"/>
          <w:bCs/>
          <w:sz w:val="20"/>
          <w:szCs w:val="20"/>
        </w:rPr>
        <w:t>T</w:t>
      </w:r>
      <w:r w:rsidR="006416BB" w:rsidRPr="00C77F4E">
        <w:rPr>
          <w:rFonts w:ascii="Helvetica" w:hAnsi="Helvetica" w:cs="Arial"/>
          <w:bCs/>
          <w:sz w:val="20"/>
          <w:szCs w:val="20"/>
        </w:rPr>
        <w:t>he condition</w:t>
      </w:r>
      <w:r w:rsidRPr="00C77F4E">
        <w:rPr>
          <w:rFonts w:ascii="Helvetica" w:hAnsi="Helvetica" w:cs="Arial"/>
          <w:bCs/>
          <w:sz w:val="20"/>
          <w:szCs w:val="20"/>
        </w:rPr>
        <w:t xml:space="preserve">s related to </w:t>
      </w:r>
      <w:r w:rsidR="006416BB" w:rsidRPr="00C77F4E">
        <w:rPr>
          <w:rFonts w:ascii="Helvetica" w:hAnsi="Helvetica" w:cs="Arial"/>
          <w:bCs/>
          <w:sz w:val="20"/>
          <w:szCs w:val="20"/>
        </w:rPr>
        <w:t>curriculum development (II.2.3)</w:t>
      </w:r>
      <w:r w:rsidRPr="00C77F4E">
        <w:rPr>
          <w:rFonts w:ascii="Helvetica" w:hAnsi="Helvetica" w:cs="Arial"/>
          <w:bCs/>
          <w:sz w:val="20"/>
          <w:szCs w:val="20"/>
        </w:rPr>
        <w:t xml:space="preserve"> were moved</w:t>
      </w:r>
      <w:r w:rsidR="005C5048" w:rsidRPr="00C77F4E">
        <w:rPr>
          <w:rFonts w:ascii="Helvetica" w:hAnsi="Helvetica" w:cs="Arial"/>
          <w:bCs/>
          <w:sz w:val="20"/>
          <w:szCs w:val="20"/>
        </w:rPr>
        <w:t xml:space="preserve"> to Part I, Section 1 and now follow</w:t>
      </w:r>
      <w:r w:rsidR="006416BB" w:rsidRPr="00C77F4E">
        <w:rPr>
          <w:rFonts w:ascii="Helvetica" w:hAnsi="Helvetica" w:cs="Arial"/>
          <w:bCs/>
          <w:sz w:val="20"/>
          <w:szCs w:val="20"/>
        </w:rPr>
        <w:t xml:space="preserve"> the condition on program self-assessment (I.1.5).</w:t>
      </w:r>
    </w:p>
    <w:p w14:paraId="48245B56" w14:textId="77777777" w:rsidR="006416BB" w:rsidRPr="00C77F4E" w:rsidRDefault="006416BB" w:rsidP="009F36C5">
      <w:pPr>
        <w:pStyle w:val="ListParagraph"/>
        <w:numPr>
          <w:ilvl w:val="0"/>
          <w:numId w:val="34"/>
        </w:numPr>
        <w:spacing w:after="120" w:line="240" w:lineRule="auto"/>
        <w:rPr>
          <w:rFonts w:ascii="Helvetica" w:hAnsi="Helvetica" w:cs="Arial"/>
          <w:bCs/>
          <w:sz w:val="20"/>
          <w:szCs w:val="20"/>
        </w:rPr>
      </w:pPr>
      <w:r w:rsidRPr="00C77F4E">
        <w:rPr>
          <w:rFonts w:ascii="Helvetica" w:hAnsi="Helvetica" w:cs="Arial"/>
          <w:bCs/>
          <w:sz w:val="20"/>
          <w:szCs w:val="20"/>
        </w:rPr>
        <w:t>The</w:t>
      </w:r>
      <w:r w:rsidR="0042188B" w:rsidRPr="00C77F4E">
        <w:rPr>
          <w:rFonts w:ascii="Helvetica" w:hAnsi="Helvetica" w:cs="Arial"/>
          <w:bCs/>
          <w:sz w:val="20"/>
          <w:szCs w:val="20"/>
        </w:rPr>
        <w:t xml:space="preserve">re are </w:t>
      </w:r>
      <w:r w:rsidRPr="00C77F4E">
        <w:rPr>
          <w:rFonts w:ascii="Helvetica" w:hAnsi="Helvetica" w:cs="Arial"/>
          <w:bCs/>
          <w:sz w:val="20"/>
          <w:szCs w:val="20"/>
        </w:rPr>
        <w:t xml:space="preserve">two new </w:t>
      </w:r>
      <w:r w:rsidR="005C5048" w:rsidRPr="00C77F4E">
        <w:rPr>
          <w:rFonts w:ascii="Helvetica" w:hAnsi="Helvetica" w:cs="Arial"/>
          <w:bCs/>
          <w:sz w:val="20"/>
          <w:szCs w:val="20"/>
        </w:rPr>
        <w:t xml:space="preserve">conditions in </w:t>
      </w:r>
      <w:r w:rsidRPr="00C77F4E">
        <w:rPr>
          <w:rFonts w:ascii="Helvetica" w:hAnsi="Helvetica" w:cs="Arial"/>
          <w:bCs/>
          <w:sz w:val="20"/>
          <w:szCs w:val="20"/>
        </w:rPr>
        <w:t>Public Information (II.4). These are</w:t>
      </w:r>
    </w:p>
    <w:p w14:paraId="35D0D7FF" w14:textId="77777777" w:rsidR="006416BB" w:rsidRPr="00C77F4E" w:rsidRDefault="006416BB" w:rsidP="009F36C5">
      <w:pPr>
        <w:pStyle w:val="ListParagraph"/>
        <w:numPr>
          <w:ilvl w:val="1"/>
          <w:numId w:val="34"/>
        </w:numPr>
        <w:spacing w:after="120" w:line="240" w:lineRule="auto"/>
        <w:rPr>
          <w:rFonts w:ascii="Helvetica" w:hAnsi="Helvetica" w:cs="Arial"/>
          <w:bCs/>
          <w:sz w:val="20"/>
          <w:szCs w:val="20"/>
        </w:rPr>
      </w:pPr>
      <w:r w:rsidRPr="00C77F4E">
        <w:rPr>
          <w:rFonts w:ascii="Helvetica" w:hAnsi="Helvetica" w:cs="Arial"/>
          <w:bCs/>
          <w:sz w:val="20"/>
          <w:szCs w:val="20"/>
        </w:rPr>
        <w:t>II.4.6 Admissions and Advising</w:t>
      </w:r>
    </w:p>
    <w:p w14:paraId="27FB1EBD" w14:textId="77777777" w:rsidR="006416BB" w:rsidRPr="00C77F4E" w:rsidRDefault="006416BB" w:rsidP="009F36C5">
      <w:pPr>
        <w:pStyle w:val="ListParagraph"/>
        <w:numPr>
          <w:ilvl w:val="1"/>
          <w:numId w:val="34"/>
        </w:numPr>
        <w:spacing w:after="120" w:line="240" w:lineRule="auto"/>
        <w:rPr>
          <w:rFonts w:ascii="Helvetica" w:hAnsi="Helvetica" w:cs="Arial"/>
          <w:bCs/>
          <w:sz w:val="20"/>
          <w:szCs w:val="20"/>
        </w:rPr>
      </w:pPr>
      <w:r w:rsidRPr="00C77F4E">
        <w:rPr>
          <w:rFonts w:ascii="Helvetica" w:hAnsi="Helvetica" w:cs="Arial"/>
          <w:bCs/>
          <w:sz w:val="20"/>
          <w:szCs w:val="20"/>
        </w:rPr>
        <w:t>II.4.7 Student Financial Information</w:t>
      </w:r>
    </w:p>
    <w:p w14:paraId="67D70EFA" w14:textId="77777777" w:rsidR="006416BB" w:rsidRPr="00C77F4E" w:rsidRDefault="006416BB" w:rsidP="006416BB">
      <w:pPr>
        <w:pStyle w:val="ListParagraph"/>
        <w:spacing w:after="120" w:line="240" w:lineRule="auto"/>
        <w:rPr>
          <w:rFonts w:ascii="Helvetica" w:hAnsi="Helvetica" w:cs="Arial"/>
          <w:bCs/>
          <w:sz w:val="20"/>
          <w:szCs w:val="20"/>
        </w:rPr>
      </w:pPr>
      <w:r w:rsidRPr="00C77F4E">
        <w:rPr>
          <w:rFonts w:ascii="Helvetica" w:hAnsi="Helvetica" w:cs="Arial"/>
          <w:bCs/>
          <w:sz w:val="20"/>
          <w:szCs w:val="20"/>
        </w:rPr>
        <w:t>These changes were made in response to repeated calls for creating public information requirements that supported Condition II.3, Evaluation of Preparatory Education, as well as the position of the AIAS, that students had insufficient access to information regarding the financial implications of financial aid decisions and course and materials fees.</w:t>
      </w:r>
    </w:p>
    <w:p w14:paraId="40667040" w14:textId="77777777" w:rsidR="007620C3" w:rsidRPr="00C77F4E" w:rsidRDefault="007620C3" w:rsidP="003C6D0B">
      <w:pPr>
        <w:pStyle w:val="ListParagraph"/>
        <w:spacing w:after="120" w:line="240" w:lineRule="auto"/>
        <w:ind w:left="0"/>
        <w:rPr>
          <w:rFonts w:ascii="Helvetica" w:hAnsi="Helvetica" w:cs="Arial"/>
          <w:bCs/>
          <w:sz w:val="20"/>
          <w:szCs w:val="20"/>
        </w:rPr>
      </w:pPr>
    </w:p>
    <w:p w14:paraId="34ED2283" w14:textId="77777777" w:rsidR="003C6D0B" w:rsidRPr="00C77F4E" w:rsidRDefault="003C6D0B" w:rsidP="003C6D0B">
      <w:pPr>
        <w:pStyle w:val="NoSpacing"/>
        <w:spacing w:after="120"/>
        <w:rPr>
          <w:rFonts w:ascii="Helvetica" w:hAnsi="Helvetica" w:cs="Arial"/>
          <w:sz w:val="20"/>
          <w:szCs w:val="20"/>
        </w:rPr>
      </w:pPr>
    </w:p>
    <w:p w14:paraId="0851DE93" w14:textId="77777777" w:rsidR="003C6D0B" w:rsidRPr="00C77F4E" w:rsidRDefault="003C6D0B" w:rsidP="003C6D0B">
      <w:pPr>
        <w:pStyle w:val="NoSpacing"/>
        <w:spacing w:after="120"/>
        <w:rPr>
          <w:rFonts w:ascii="Helvetica" w:hAnsi="Helvetica" w:cs="Arial"/>
          <w:b/>
          <w:smallCaps/>
          <w:sz w:val="20"/>
          <w:szCs w:val="20"/>
        </w:rPr>
      </w:pPr>
    </w:p>
    <w:p w14:paraId="47D45EDB" w14:textId="77777777" w:rsidR="001733FF" w:rsidRPr="00C77F4E" w:rsidRDefault="0047275D" w:rsidP="0040696D">
      <w:pPr>
        <w:pStyle w:val="Heading1"/>
        <w:rPr>
          <w:rFonts w:ascii="Helvetica" w:hAnsi="Helvetica" w:cs="Arial"/>
          <w:bCs w:val="0"/>
          <w:smallCaps/>
          <w:color w:val="auto"/>
          <w:sz w:val="20"/>
          <w:szCs w:val="20"/>
        </w:rPr>
      </w:pPr>
      <w:r w:rsidRPr="00C77F4E">
        <w:rPr>
          <w:rFonts w:ascii="Helvetica" w:hAnsi="Helvetica" w:cs="Arial"/>
          <w:sz w:val="20"/>
          <w:szCs w:val="20"/>
        </w:rPr>
        <w:br w:type="page"/>
      </w:r>
      <w:bookmarkStart w:id="6" w:name="_Toc462758515"/>
      <w:r w:rsidR="001733FF" w:rsidRPr="00C77F4E">
        <w:rPr>
          <w:rFonts w:ascii="Helvetica" w:hAnsi="Helvetica" w:cs="Arial"/>
          <w:i/>
          <w:color w:val="000000"/>
          <w:sz w:val="20"/>
          <w:szCs w:val="20"/>
        </w:rPr>
        <w:t>Instructions for Preparing Architecture Program Reports</w:t>
      </w:r>
      <w:bookmarkEnd w:id="6"/>
    </w:p>
    <w:p w14:paraId="3947CCE7" w14:textId="77777777" w:rsidR="001733FF" w:rsidRPr="00C77F4E" w:rsidRDefault="001733FF" w:rsidP="002F5349">
      <w:pPr>
        <w:spacing w:after="120" w:line="240" w:lineRule="auto"/>
        <w:rPr>
          <w:rFonts w:ascii="Helvetica" w:hAnsi="Helvetica" w:cs="Arial"/>
          <w:sz w:val="20"/>
          <w:szCs w:val="20"/>
        </w:rPr>
      </w:pPr>
      <w:r w:rsidRPr="00C77F4E">
        <w:rPr>
          <w:rFonts w:ascii="Helvetica" w:hAnsi="Helvetica" w:cs="Arial"/>
          <w:sz w:val="20"/>
          <w:szCs w:val="20"/>
        </w:rPr>
        <w:t>This section provides information, definitions, and specifications for the content in each section of the APR.</w:t>
      </w:r>
    </w:p>
    <w:p w14:paraId="128C8F7D" w14:textId="77777777" w:rsidR="001733FF" w:rsidRPr="00C77F4E" w:rsidRDefault="001733FF" w:rsidP="002F5349">
      <w:pPr>
        <w:spacing w:after="120" w:line="240" w:lineRule="auto"/>
        <w:rPr>
          <w:rFonts w:ascii="Helvetica" w:hAnsi="Helvetica" w:cs="Arial"/>
          <w:sz w:val="20"/>
          <w:szCs w:val="20"/>
        </w:rPr>
      </w:pPr>
      <w:r w:rsidRPr="00C77F4E">
        <w:rPr>
          <w:rFonts w:ascii="Helvetica" w:hAnsi="Helvetica" w:cs="Arial"/>
          <w:sz w:val="20"/>
          <w:szCs w:val="20"/>
        </w:rPr>
        <w:t>The Architecture Program Report (APR) serves both as a self-study for the program and as the principal</w:t>
      </w:r>
      <w:r w:rsidRPr="00C77F4E">
        <w:rPr>
          <w:rFonts w:ascii="Helvetica" w:hAnsi="Helvetica" w:cs="Arial"/>
          <w:color w:val="FF0000"/>
          <w:sz w:val="20"/>
          <w:szCs w:val="20"/>
        </w:rPr>
        <w:t xml:space="preserve"> </w:t>
      </w:r>
      <w:r w:rsidRPr="00C77F4E">
        <w:rPr>
          <w:rFonts w:ascii="Helvetica" w:hAnsi="Helvetica" w:cs="Arial"/>
          <w:sz w:val="20"/>
          <w:szCs w:val="20"/>
        </w:rPr>
        <w:t xml:space="preserve">source document for conducting the visit. </w:t>
      </w:r>
    </w:p>
    <w:p w14:paraId="35697285" w14:textId="77777777" w:rsidR="001733FF" w:rsidRPr="00C77F4E" w:rsidRDefault="001733FF" w:rsidP="002F5349">
      <w:pPr>
        <w:pStyle w:val="ColorfulList-Accent11"/>
        <w:numPr>
          <w:ilvl w:val="0"/>
          <w:numId w:val="3"/>
        </w:numPr>
        <w:spacing w:after="120" w:line="240" w:lineRule="auto"/>
        <w:contextualSpacing w:val="0"/>
        <w:rPr>
          <w:rFonts w:ascii="Helvetica" w:hAnsi="Helvetica" w:cs="Arial"/>
          <w:sz w:val="20"/>
          <w:szCs w:val="20"/>
        </w:rPr>
      </w:pPr>
      <w:r w:rsidRPr="00C77F4E">
        <w:rPr>
          <w:rFonts w:ascii="Helvetica" w:hAnsi="Helvetica" w:cs="Arial"/>
          <w:b/>
          <w:sz w:val="20"/>
          <w:szCs w:val="20"/>
        </w:rPr>
        <w:t>Content.</w:t>
      </w:r>
      <w:r w:rsidRPr="00C77F4E">
        <w:rPr>
          <w:rFonts w:ascii="Helvetica" w:hAnsi="Helvetica" w:cs="Arial"/>
          <w:sz w:val="20"/>
          <w:szCs w:val="20"/>
        </w:rPr>
        <w:t xml:space="preserve"> The </w:t>
      </w:r>
      <w:r w:rsidRPr="00C77F4E">
        <w:rPr>
          <w:rFonts w:ascii="Helvetica" w:hAnsi="Helvetica" w:cs="Arial"/>
          <w:i/>
          <w:sz w:val="20"/>
          <w:szCs w:val="20"/>
        </w:rPr>
        <w:t>APR</w:t>
      </w:r>
      <w:r w:rsidRPr="00C77F4E">
        <w:rPr>
          <w:rFonts w:ascii="Helvetica" w:hAnsi="Helvetica" w:cs="Arial"/>
          <w:sz w:val="20"/>
          <w:szCs w:val="20"/>
        </w:rPr>
        <w:t xml:space="preserve"> is a narrative document that is comprehensive and self-analytical. It is expected to succinctly describe how a program meets each of the conditions for accreditation. To the extent that photographs, tables, or other types of information support the program’s narrative, they may also be included, but not to the detriment of the narrative.</w:t>
      </w:r>
    </w:p>
    <w:p w14:paraId="295B366E" w14:textId="77777777" w:rsidR="001733FF" w:rsidRPr="00C77F4E" w:rsidRDefault="001733FF" w:rsidP="002F5349">
      <w:pPr>
        <w:pStyle w:val="ColorfulList-Accent11"/>
        <w:numPr>
          <w:ilvl w:val="0"/>
          <w:numId w:val="3"/>
        </w:numPr>
        <w:spacing w:after="120" w:line="240" w:lineRule="auto"/>
        <w:contextualSpacing w:val="0"/>
        <w:rPr>
          <w:rFonts w:ascii="Helvetica" w:hAnsi="Helvetica" w:cs="Arial"/>
          <w:sz w:val="20"/>
          <w:szCs w:val="20"/>
        </w:rPr>
      </w:pPr>
      <w:r w:rsidRPr="00C77F4E">
        <w:rPr>
          <w:rFonts w:ascii="Helvetica" w:hAnsi="Helvetica" w:cs="Arial"/>
          <w:b/>
          <w:sz w:val="20"/>
          <w:szCs w:val="20"/>
        </w:rPr>
        <w:t>Format.</w:t>
      </w:r>
      <w:r w:rsidRPr="00C77F4E">
        <w:rPr>
          <w:rFonts w:ascii="Helvetica" w:hAnsi="Helvetica" w:cs="Arial"/>
          <w:sz w:val="20"/>
          <w:szCs w:val="20"/>
        </w:rPr>
        <w:t xml:space="preserve"> Programs must use the prescribed template for the </w:t>
      </w:r>
      <w:r w:rsidRPr="00C77F4E">
        <w:rPr>
          <w:rFonts w:ascii="Helvetica" w:hAnsi="Helvetica" w:cs="Arial"/>
          <w:i/>
          <w:sz w:val="20"/>
          <w:szCs w:val="20"/>
        </w:rPr>
        <w:t>APR</w:t>
      </w:r>
      <w:r w:rsidRPr="00C77F4E">
        <w:rPr>
          <w:rFonts w:ascii="Helvetica" w:hAnsi="Helvetica" w:cs="Arial"/>
          <w:sz w:val="20"/>
          <w:szCs w:val="20"/>
        </w:rPr>
        <w:t xml:space="preserve">. Each part is intended to allow a program to describe how its </w:t>
      </w:r>
      <w:r w:rsidRPr="00C77F4E">
        <w:rPr>
          <w:rFonts w:ascii="Helvetica" w:hAnsi="Helvetica" w:cs="Arial"/>
          <w:iCs/>
          <w:sz w:val="20"/>
          <w:szCs w:val="20"/>
        </w:rPr>
        <w:t xml:space="preserve">unique qualities </w:t>
      </w:r>
      <w:r w:rsidRPr="00C77F4E">
        <w:rPr>
          <w:rFonts w:ascii="Helvetica" w:hAnsi="Helvetica" w:cs="Arial"/>
          <w:sz w:val="20"/>
          <w:szCs w:val="20"/>
        </w:rPr>
        <w:t xml:space="preserve">and its students’ achievements satisfy the conditions that all accredited programs must meet. </w:t>
      </w:r>
    </w:p>
    <w:p w14:paraId="2B43D2D5" w14:textId="77777777" w:rsidR="001733FF" w:rsidRPr="00C77F4E" w:rsidRDefault="001733FF" w:rsidP="002F5349">
      <w:pPr>
        <w:pStyle w:val="ColorfulList-Accent11"/>
        <w:spacing w:after="120" w:line="240" w:lineRule="auto"/>
        <w:contextualSpacing w:val="0"/>
        <w:rPr>
          <w:rFonts w:ascii="Helvetica" w:hAnsi="Helvetica" w:cs="Arial"/>
          <w:sz w:val="20"/>
          <w:szCs w:val="20"/>
        </w:rPr>
      </w:pPr>
      <w:r w:rsidRPr="00C77F4E">
        <w:rPr>
          <w:rFonts w:ascii="Helvetica" w:hAnsi="Helvetica" w:cs="Arial"/>
          <w:i/>
          <w:sz w:val="20"/>
          <w:szCs w:val="20"/>
        </w:rPr>
        <w:t>APR</w:t>
      </w:r>
      <w:r w:rsidRPr="00C77F4E">
        <w:rPr>
          <w:rFonts w:ascii="Helvetica" w:hAnsi="Helvetica" w:cs="Arial"/>
          <w:sz w:val="20"/>
          <w:szCs w:val="20"/>
        </w:rPr>
        <w:t>s are limited to 150 pages and to 7 MBs. Supplemental material is to be made available to the team through hyperlinks to materials stored on program, university, or other website</w:t>
      </w:r>
      <w:r w:rsidR="005C5048" w:rsidRPr="00C77F4E">
        <w:rPr>
          <w:rFonts w:ascii="Helvetica" w:hAnsi="Helvetica" w:cs="Arial"/>
          <w:sz w:val="20"/>
          <w:szCs w:val="20"/>
        </w:rPr>
        <w:t>s</w:t>
      </w:r>
      <w:r w:rsidRPr="00C77F4E">
        <w:rPr>
          <w:rFonts w:ascii="Helvetica" w:hAnsi="Helvetica" w:cs="Arial"/>
          <w:sz w:val="20"/>
          <w:szCs w:val="20"/>
        </w:rPr>
        <w:t xml:space="preserve"> or web portals.</w:t>
      </w:r>
    </w:p>
    <w:p w14:paraId="63FC0A0C" w14:textId="77777777" w:rsidR="001733FF" w:rsidRPr="00C77F4E" w:rsidRDefault="001733FF" w:rsidP="002F5349">
      <w:pPr>
        <w:pStyle w:val="ColorfulList-Accent11"/>
        <w:spacing w:after="120" w:line="240" w:lineRule="auto"/>
        <w:contextualSpacing w:val="0"/>
        <w:rPr>
          <w:rFonts w:ascii="Helvetica" w:hAnsi="Helvetica" w:cs="Arial"/>
          <w:sz w:val="20"/>
          <w:szCs w:val="20"/>
        </w:rPr>
      </w:pPr>
      <w:r w:rsidRPr="00C77F4E">
        <w:rPr>
          <w:rFonts w:ascii="Helvetica" w:hAnsi="Helvetica" w:cs="Arial"/>
          <w:sz w:val="20"/>
          <w:szCs w:val="20"/>
        </w:rPr>
        <w:t>Programs are further required to use the standard templates and matrices found in the appendices to this document for course descriptions and faculty credentials. These materials must also be stored online and accessed by the team through a hyperlink</w:t>
      </w:r>
      <w:r w:rsidR="005C5048" w:rsidRPr="00C77F4E">
        <w:rPr>
          <w:rFonts w:ascii="Helvetica" w:hAnsi="Helvetica" w:cs="Arial"/>
          <w:sz w:val="20"/>
          <w:szCs w:val="20"/>
        </w:rPr>
        <w:t xml:space="preserve"> or portal</w:t>
      </w:r>
      <w:r w:rsidRPr="00C77F4E">
        <w:rPr>
          <w:rFonts w:ascii="Helvetica" w:hAnsi="Helvetica" w:cs="Arial"/>
          <w:sz w:val="20"/>
          <w:szCs w:val="20"/>
        </w:rPr>
        <w:t>.</w:t>
      </w:r>
    </w:p>
    <w:p w14:paraId="571A51F0" w14:textId="77777777" w:rsidR="001733FF" w:rsidRPr="00C77F4E" w:rsidRDefault="001733FF" w:rsidP="002F5349">
      <w:pPr>
        <w:pStyle w:val="ColorfulList-Accent11"/>
        <w:spacing w:after="120" w:line="240" w:lineRule="auto"/>
        <w:contextualSpacing w:val="0"/>
        <w:rPr>
          <w:rFonts w:ascii="Helvetica" w:hAnsi="Helvetica" w:cs="Arial"/>
          <w:sz w:val="20"/>
          <w:szCs w:val="20"/>
        </w:rPr>
      </w:pPr>
      <w:r w:rsidRPr="00C77F4E">
        <w:rPr>
          <w:rFonts w:ascii="Helvetica" w:hAnsi="Helvetica" w:cs="Arial"/>
          <w:sz w:val="20"/>
          <w:szCs w:val="20"/>
        </w:rPr>
        <w:t xml:space="preserve">The </w:t>
      </w:r>
      <w:r w:rsidRPr="00C77F4E">
        <w:rPr>
          <w:rFonts w:ascii="Helvetica" w:hAnsi="Helvetica" w:cs="Arial"/>
          <w:i/>
          <w:sz w:val="20"/>
          <w:szCs w:val="20"/>
        </w:rPr>
        <w:t>APR</w:t>
      </w:r>
      <w:r w:rsidRPr="00C77F4E">
        <w:rPr>
          <w:rFonts w:ascii="Helvetica" w:hAnsi="Helvetica" w:cs="Arial"/>
          <w:sz w:val="20"/>
          <w:szCs w:val="20"/>
        </w:rPr>
        <w:t xml:space="preserve"> is to be delivered either in Microsoft Word or Adobe PDF formats and, in addition to the page limit, is also limited to 7 MBs.</w:t>
      </w:r>
    </w:p>
    <w:p w14:paraId="27C64D63" w14:textId="77777777" w:rsidR="001733FF" w:rsidRPr="00C77F4E" w:rsidRDefault="002D5533" w:rsidP="002F5349">
      <w:pPr>
        <w:pStyle w:val="ColorfulList-Accent11"/>
        <w:spacing w:after="120" w:line="240" w:lineRule="auto"/>
        <w:ind w:left="0"/>
        <w:contextualSpacing w:val="0"/>
        <w:rPr>
          <w:rFonts w:ascii="Helvetica" w:hAnsi="Helvetica" w:cs="Arial"/>
          <w:sz w:val="20"/>
          <w:szCs w:val="20"/>
        </w:rPr>
      </w:pPr>
      <w:r w:rsidRPr="00C77F4E">
        <w:rPr>
          <w:rFonts w:ascii="Helvetica" w:hAnsi="Helvetica" w:cs="Arial"/>
          <w:sz w:val="20"/>
          <w:szCs w:val="20"/>
        </w:rPr>
        <w:t>T</w:t>
      </w:r>
      <w:r w:rsidR="001733FF" w:rsidRPr="00C77F4E">
        <w:rPr>
          <w:rFonts w:ascii="Helvetica" w:hAnsi="Helvetica" w:cs="Arial"/>
          <w:sz w:val="20"/>
          <w:szCs w:val="20"/>
        </w:rPr>
        <w:t>he APR must follow this outline:</w:t>
      </w:r>
    </w:p>
    <w:p w14:paraId="7D93A9B3" w14:textId="77777777" w:rsidR="001733FF" w:rsidRPr="00C77F4E" w:rsidRDefault="001733FF" w:rsidP="009F36C5">
      <w:pPr>
        <w:pStyle w:val="ColorfulList-Accent11"/>
        <w:numPr>
          <w:ilvl w:val="0"/>
          <w:numId w:val="20"/>
        </w:numPr>
        <w:spacing w:after="120" w:line="240" w:lineRule="auto"/>
        <w:contextualSpacing w:val="0"/>
        <w:rPr>
          <w:rFonts w:ascii="Helvetica" w:hAnsi="Helvetica" w:cs="Arial"/>
          <w:sz w:val="20"/>
          <w:szCs w:val="20"/>
        </w:rPr>
      </w:pPr>
      <w:r w:rsidRPr="00C77F4E">
        <w:rPr>
          <w:rFonts w:ascii="Helvetica" w:hAnsi="Helvetica" w:cs="Arial"/>
          <w:sz w:val="20"/>
          <w:szCs w:val="20"/>
        </w:rPr>
        <w:t>Cover page</w:t>
      </w:r>
    </w:p>
    <w:p w14:paraId="24E236F5" w14:textId="77777777" w:rsidR="001733FF" w:rsidRPr="00C77F4E" w:rsidRDefault="001733FF" w:rsidP="009F36C5">
      <w:pPr>
        <w:pStyle w:val="ColorfulList-Accent11"/>
        <w:numPr>
          <w:ilvl w:val="1"/>
          <w:numId w:val="20"/>
        </w:numPr>
        <w:spacing w:after="120" w:line="240" w:lineRule="auto"/>
        <w:contextualSpacing w:val="0"/>
        <w:rPr>
          <w:rFonts w:ascii="Helvetica" w:hAnsi="Helvetica" w:cs="Arial"/>
          <w:sz w:val="20"/>
          <w:szCs w:val="20"/>
        </w:rPr>
      </w:pPr>
      <w:r w:rsidRPr="00C77F4E">
        <w:rPr>
          <w:rFonts w:ascii="Helvetica" w:hAnsi="Helvetica" w:cs="Arial"/>
          <w:sz w:val="20"/>
          <w:szCs w:val="20"/>
        </w:rPr>
        <w:t>Degree title(s) including any prerequisites</w:t>
      </w:r>
    </w:p>
    <w:p w14:paraId="15632375" w14:textId="77777777" w:rsidR="001733FF" w:rsidRPr="00C77F4E" w:rsidRDefault="001733FF" w:rsidP="009F36C5">
      <w:pPr>
        <w:pStyle w:val="ColorfulList-Accent11"/>
        <w:numPr>
          <w:ilvl w:val="1"/>
          <w:numId w:val="20"/>
        </w:numPr>
        <w:spacing w:after="120" w:line="240" w:lineRule="auto"/>
        <w:contextualSpacing w:val="0"/>
        <w:rPr>
          <w:rFonts w:ascii="Helvetica" w:hAnsi="Helvetica" w:cs="Arial"/>
          <w:sz w:val="20"/>
          <w:szCs w:val="20"/>
        </w:rPr>
      </w:pPr>
      <w:r w:rsidRPr="00C77F4E">
        <w:rPr>
          <w:rFonts w:ascii="Helvetica" w:hAnsi="Helvetica" w:cs="Arial"/>
          <w:sz w:val="20"/>
          <w:szCs w:val="20"/>
        </w:rPr>
        <w:t xml:space="preserve">Names and contact information for program administrator, head of the academic unit, </w:t>
      </w:r>
      <w:r w:rsidR="005C5048" w:rsidRPr="00C77F4E">
        <w:rPr>
          <w:rFonts w:ascii="Helvetica" w:hAnsi="Helvetica" w:cs="Arial"/>
          <w:sz w:val="20"/>
          <w:szCs w:val="20"/>
        </w:rPr>
        <w:t>chief academic officer</w:t>
      </w:r>
      <w:r w:rsidRPr="00C77F4E">
        <w:rPr>
          <w:rFonts w:ascii="Helvetica" w:hAnsi="Helvetica" w:cs="Arial"/>
          <w:sz w:val="20"/>
          <w:szCs w:val="20"/>
        </w:rPr>
        <w:t>, and president of the institution</w:t>
      </w:r>
    </w:p>
    <w:p w14:paraId="1753F9CD" w14:textId="77777777" w:rsidR="001733FF" w:rsidRPr="00C77F4E" w:rsidRDefault="001733FF" w:rsidP="009F36C5">
      <w:pPr>
        <w:pStyle w:val="ColorfulList-Accent11"/>
        <w:numPr>
          <w:ilvl w:val="0"/>
          <w:numId w:val="20"/>
        </w:numPr>
        <w:spacing w:after="120" w:line="240" w:lineRule="auto"/>
        <w:contextualSpacing w:val="0"/>
        <w:rPr>
          <w:rFonts w:ascii="Helvetica" w:hAnsi="Helvetica" w:cs="Arial"/>
          <w:sz w:val="20"/>
          <w:szCs w:val="20"/>
        </w:rPr>
      </w:pPr>
      <w:r w:rsidRPr="00C77F4E">
        <w:rPr>
          <w:rFonts w:ascii="Helvetica" w:hAnsi="Helvetica" w:cs="Arial"/>
          <w:sz w:val="20"/>
          <w:szCs w:val="20"/>
        </w:rPr>
        <w:t xml:space="preserve">APR – Section 1- Program Description </w:t>
      </w:r>
    </w:p>
    <w:p w14:paraId="0BA2ED17" w14:textId="77777777" w:rsidR="001733FF" w:rsidRPr="00C77F4E" w:rsidRDefault="001733FF" w:rsidP="009F36C5">
      <w:pPr>
        <w:pStyle w:val="ColorfulList-Accent11"/>
        <w:numPr>
          <w:ilvl w:val="1"/>
          <w:numId w:val="20"/>
        </w:numPr>
        <w:spacing w:after="120" w:line="240" w:lineRule="auto"/>
        <w:contextualSpacing w:val="0"/>
        <w:rPr>
          <w:rFonts w:ascii="Helvetica" w:hAnsi="Helvetica" w:cs="Arial"/>
          <w:sz w:val="20"/>
          <w:szCs w:val="20"/>
        </w:rPr>
      </w:pPr>
      <w:r w:rsidRPr="00C77F4E">
        <w:rPr>
          <w:rFonts w:ascii="Helvetica" w:hAnsi="Helvetica" w:cs="Arial"/>
          <w:sz w:val="20"/>
          <w:szCs w:val="20"/>
        </w:rPr>
        <w:t xml:space="preserve">I.1.1 History and Mission </w:t>
      </w:r>
    </w:p>
    <w:p w14:paraId="046E4701" w14:textId="77777777" w:rsidR="001733FF" w:rsidRPr="00C77F4E" w:rsidRDefault="001733FF" w:rsidP="009F36C5">
      <w:pPr>
        <w:pStyle w:val="ColorfulList-Accent11"/>
        <w:numPr>
          <w:ilvl w:val="1"/>
          <w:numId w:val="20"/>
        </w:numPr>
        <w:spacing w:after="120" w:line="240" w:lineRule="auto"/>
        <w:contextualSpacing w:val="0"/>
        <w:rPr>
          <w:rFonts w:ascii="Helvetica" w:hAnsi="Helvetica" w:cs="Arial"/>
          <w:sz w:val="20"/>
          <w:szCs w:val="20"/>
        </w:rPr>
      </w:pPr>
      <w:r w:rsidRPr="00C77F4E">
        <w:rPr>
          <w:rFonts w:ascii="Helvetica" w:hAnsi="Helvetica" w:cs="Arial"/>
          <w:sz w:val="20"/>
          <w:szCs w:val="20"/>
        </w:rPr>
        <w:t>I.1.2 Learning Culture</w:t>
      </w:r>
    </w:p>
    <w:p w14:paraId="15A694F5" w14:textId="77777777" w:rsidR="001733FF" w:rsidRPr="00C77F4E" w:rsidRDefault="001733FF" w:rsidP="009F36C5">
      <w:pPr>
        <w:pStyle w:val="ColorfulList-Accent11"/>
        <w:numPr>
          <w:ilvl w:val="1"/>
          <w:numId w:val="20"/>
        </w:numPr>
        <w:spacing w:after="120" w:line="240" w:lineRule="auto"/>
        <w:contextualSpacing w:val="0"/>
        <w:rPr>
          <w:rFonts w:ascii="Helvetica" w:hAnsi="Helvetica" w:cs="Arial"/>
          <w:sz w:val="20"/>
          <w:szCs w:val="20"/>
        </w:rPr>
      </w:pPr>
      <w:r w:rsidRPr="00C77F4E">
        <w:rPr>
          <w:rFonts w:ascii="Helvetica" w:hAnsi="Helvetica" w:cs="Arial"/>
          <w:sz w:val="20"/>
          <w:szCs w:val="20"/>
        </w:rPr>
        <w:t>I.1.3 Social Equity</w:t>
      </w:r>
    </w:p>
    <w:p w14:paraId="32AD3932" w14:textId="77777777" w:rsidR="001733FF" w:rsidRPr="00C77F4E" w:rsidRDefault="001733FF" w:rsidP="009F36C5">
      <w:pPr>
        <w:pStyle w:val="ColorfulList-Accent11"/>
        <w:numPr>
          <w:ilvl w:val="1"/>
          <w:numId w:val="20"/>
        </w:numPr>
        <w:spacing w:after="120" w:line="240" w:lineRule="auto"/>
        <w:contextualSpacing w:val="0"/>
        <w:rPr>
          <w:rFonts w:ascii="Helvetica" w:hAnsi="Helvetica" w:cs="Arial"/>
          <w:sz w:val="20"/>
          <w:szCs w:val="20"/>
        </w:rPr>
      </w:pPr>
      <w:r w:rsidRPr="00C77F4E">
        <w:rPr>
          <w:rFonts w:ascii="Helvetica" w:hAnsi="Helvetica" w:cs="Arial"/>
          <w:sz w:val="20"/>
          <w:szCs w:val="20"/>
        </w:rPr>
        <w:t>I.1.4 Defining Perspectives</w:t>
      </w:r>
    </w:p>
    <w:p w14:paraId="3A7803DD" w14:textId="77777777" w:rsidR="001733FF" w:rsidRPr="00C77F4E" w:rsidRDefault="001733FF" w:rsidP="009F36C5">
      <w:pPr>
        <w:pStyle w:val="ColorfulList-Accent11"/>
        <w:numPr>
          <w:ilvl w:val="1"/>
          <w:numId w:val="20"/>
        </w:numPr>
        <w:spacing w:after="120" w:line="240" w:lineRule="auto"/>
        <w:contextualSpacing w:val="0"/>
        <w:rPr>
          <w:rFonts w:ascii="Helvetica" w:hAnsi="Helvetica" w:cs="Arial"/>
          <w:sz w:val="20"/>
          <w:szCs w:val="20"/>
        </w:rPr>
      </w:pPr>
      <w:r w:rsidRPr="00C77F4E">
        <w:rPr>
          <w:rFonts w:ascii="Helvetica" w:hAnsi="Helvetica" w:cs="Arial"/>
          <w:sz w:val="20"/>
          <w:szCs w:val="20"/>
        </w:rPr>
        <w:t xml:space="preserve">I.1.5 </w:t>
      </w:r>
      <w:r w:rsidR="00053CC2" w:rsidRPr="00C77F4E">
        <w:rPr>
          <w:rFonts w:ascii="Helvetica" w:hAnsi="Helvetica" w:cs="Arial"/>
          <w:sz w:val="20"/>
          <w:szCs w:val="20"/>
        </w:rPr>
        <w:t xml:space="preserve">Long-Range Planning </w:t>
      </w:r>
    </w:p>
    <w:p w14:paraId="293900D1" w14:textId="77777777" w:rsidR="001733FF" w:rsidRPr="00C77F4E" w:rsidRDefault="001733FF" w:rsidP="009F36C5">
      <w:pPr>
        <w:pStyle w:val="ColorfulList-Accent11"/>
        <w:numPr>
          <w:ilvl w:val="1"/>
          <w:numId w:val="20"/>
        </w:numPr>
        <w:spacing w:after="120" w:line="240" w:lineRule="auto"/>
        <w:contextualSpacing w:val="0"/>
        <w:rPr>
          <w:rFonts w:ascii="Helvetica" w:hAnsi="Helvetica" w:cs="Arial"/>
          <w:sz w:val="20"/>
          <w:szCs w:val="20"/>
        </w:rPr>
      </w:pPr>
      <w:r w:rsidRPr="00C77F4E">
        <w:rPr>
          <w:rFonts w:ascii="Helvetica" w:hAnsi="Helvetica" w:cs="Arial"/>
          <w:sz w:val="20"/>
          <w:szCs w:val="20"/>
        </w:rPr>
        <w:t xml:space="preserve">I.1.6 </w:t>
      </w:r>
      <w:r w:rsidR="00053CC2" w:rsidRPr="00C77F4E">
        <w:rPr>
          <w:rFonts w:ascii="Helvetica" w:hAnsi="Helvetica" w:cs="Arial"/>
          <w:sz w:val="20"/>
          <w:szCs w:val="20"/>
        </w:rPr>
        <w:t>Assessment</w:t>
      </w:r>
    </w:p>
    <w:p w14:paraId="0AE10900" w14:textId="77777777" w:rsidR="001733FF" w:rsidRPr="00C77F4E" w:rsidRDefault="001733FF" w:rsidP="009F36C5">
      <w:pPr>
        <w:pStyle w:val="ColorfulList-Accent11"/>
        <w:numPr>
          <w:ilvl w:val="0"/>
          <w:numId w:val="20"/>
        </w:numPr>
        <w:spacing w:after="120" w:line="240" w:lineRule="auto"/>
        <w:contextualSpacing w:val="0"/>
        <w:rPr>
          <w:rFonts w:ascii="Helvetica" w:hAnsi="Helvetica" w:cs="Arial"/>
          <w:sz w:val="20"/>
          <w:szCs w:val="20"/>
        </w:rPr>
      </w:pPr>
      <w:r w:rsidRPr="00C77F4E">
        <w:rPr>
          <w:rFonts w:ascii="Helvetica" w:hAnsi="Helvetica" w:cs="Arial"/>
          <w:sz w:val="20"/>
          <w:szCs w:val="20"/>
        </w:rPr>
        <w:t>APR – Section 2 – Progress Since the Previous Visit</w:t>
      </w:r>
    </w:p>
    <w:p w14:paraId="76230BE1" w14:textId="77777777" w:rsidR="001733FF" w:rsidRPr="00C77F4E" w:rsidRDefault="001733FF" w:rsidP="009F36C5">
      <w:pPr>
        <w:pStyle w:val="ColorfulList-Accent11"/>
        <w:numPr>
          <w:ilvl w:val="0"/>
          <w:numId w:val="20"/>
        </w:numPr>
        <w:spacing w:after="120" w:line="240" w:lineRule="auto"/>
        <w:contextualSpacing w:val="0"/>
        <w:rPr>
          <w:rFonts w:ascii="Helvetica" w:hAnsi="Helvetica" w:cs="Arial"/>
          <w:sz w:val="20"/>
          <w:szCs w:val="20"/>
        </w:rPr>
      </w:pPr>
      <w:r w:rsidRPr="00C77F4E">
        <w:rPr>
          <w:rFonts w:ascii="Helvetica" w:hAnsi="Helvetica" w:cs="Arial"/>
          <w:sz w:val="20"/>
          <w:szCs w:val="20"/>
        </w:rPr>
        <w:t>APR – Section 3  – Compliance with the Conditions for Accreditation</w:t>
      </w:r>
    </w:p>
    <w:p w14:paraId="398BB07F" w14:textId="77777777" w:rsidR="001733FF" w:rsidRPr="00C77F4E" w:rsidRDefault="001733FF" w:rsidP="009F36C5">
      <w:pPr>
        <w:pStyle w:val="ColorfulList-Accent11"/>
        <w:numPr>
          <w:ilvl w:val="1"/>
          <w:numId w:val="20"/>
        </w:numPr>
        <w:spacing w:after="120" w:line="240" w:lineRule="auto"/>
        <w:contextualSpacing w:val="0"/>
        <w:rPr>
          <w:rFonts w:ascii="Helvetica" w:hAnsi="Helvetica" w:cs="Arial"/>
          <w:sz w:val="20"/>
          <w:szCs w:val="20"/>
        </w:rPr>
      </w:pPr>
      <w:r w:rsidRPr="00C77F4E">
        <w:rPr>
          <w:rFonts w:ascii="Helvetica" w:hAnsi="Helvetica" w:cs="Arial"/>
          <w:sz w:val="20"/>
          <w:szCs w:val="20"/>
        </w:rPr>
        <w:t>I.2.1 Human Resources and Human Resource Development</w:t>
      </w:r>
    </w:p>
    <w:p w14:paraId="3EFED86C" w14:textId="77777777" w:rsidR="001733FF" w:rsidRPr="00C77F4E" w:rsidRDefault="001733FF" w:rsidP="009F36C5">
      <w:pPr>
        <w:pStyle w:val="ColorfulList-Accent11"/>
        <w:numPr>
          <w:ilvl w:val="1"/>
          <w:numId w:val="20"/>
        </w:numPr>
        <w:spacing w:after="120" w:line="240" w:lineRule="auto"/>
        <w:contextualSpacing w:val="0"/>
        <w:rPr>
          <w:rFonts w:ascii="Helvetica" w:hAnsi="Helvetica" w:cs="Arial"/>
          <w:sz w:val="20"/>
          <w:szCs w:val="20"/>
        </w:rPr>
      </w:pPr>
      <w:r w:rsidRPr="00C77F4E">
        <w:rPr>
          <w:rFonts w:ascii="Helvetica" w:hAnsi="Helvetica" w:cs="Arial"/>
          <w:sz w:val="20"/>
          <w:szCs w:val="20"/>
        </w:rPr>
        <w:t>I.2.2 Physical Resources</w:t>
      </w:r>
    </w:p>
    <w:p w14:paraId="51C16A5F" w14:textId="77777777" w:rsidR="001733FF" w:rsidRPr="00C77F4E" w:rsidRDefault="001733FF" w:rsidP="009F36C5">
      <w:pPr>
        <w:pStyle w:val="ColorfulList-Accent11"/>
        <w:numPr>
          <w:ilvl w:val="1"/>
          <w:numId w:val="20"/>
        </w:numPr>
        <w:spacing w:after="120" w:line="240" w:lineRule="auto"/>
        <w:contextualSpacing w:val="0"/>
        <w:rPr>
          <w:rFonts w:ascii="Helvetica" w:hAnsi="Helvetica" w:cs="Arial"/>
          <w:sz w:val="20"/>
          <w:szCs w:val="20"/>
        </w:rPr>
      </w:pPr>
      <w:r w:rsidRPr="00C77F4E">
        <w:rPr>
          <w:rFonts w:ascii="Helvetica" w:hAnsi="Helvetica" w:cs="Arial"/>
          <w:sz w:val="20"/>
          <w:szCs w:val="20"/>
        </w:rPr>
        <w:t>I.2.3 Financial Resources</w:t>
      </w:r>
    </w:p>
    <w:p w14:paraId="041A8EC4" w14:textId="77777777" w:rsidR="001733FF" w:rsidRPr="00C77F4E" w:rsidRDefault="001733FF" w:rsidP="009F36C5">
      <w:pPr>
        <w:pStyle w:val="ColorfulList-Accent11"/>
        <w:numPr>
          <w:ilvl w:val="1"/>
          <w:numId w:val="20"/>
        </w:numPr>
        <w:spacing w:after="120" w:line="240" w:lineRule="auto"/>
        <w:contextualSpacing w:val="0"/>
        <w:rPr>
          <w:rFonts w:ascii="Helvetica" w:hAnsi="Helvetica" w:cs="Arial"/>
          <w:sz w:val="20"/>
          <w:szCs w:val="20"/>
        </w:rPr>
      </w:pPr>
      <w:r w:rsidRPr="00C77F4E">
        <w:rPr>
          <w:rFonts w:ascii="Helvetica" w:hAnsi="Helvetica" w:cs="Arial"/>
          <w:sz w:val="20"/>
          <w:szCs w:val="20"/>
        </w:rPr>
        <w:t>I.2.4 Information Resources</w:t>
      </w:r>
    </w:p>
    <w:p w14:paraId="09E396ED" w14:textId="77777777" w:rsidR="001733FF" w:rsidRPr="00C77F4E" w:rsidRDefault="001733FF" w:rsidP="009F36C5">
      <w:pPr>
        <w:pStyle w:val="ColorfulList-Accent11"/>
        <w:numPr>
          <w:ilvl w:val="1"/>
          <w:numId w:val="20"/>
        </w:numPr>
        <w:spacing w:after="120" w:line="240" w:lineRule="auto"/>
        <w:contextualSpacing w:val="0"/>
        <w:rPr>
          <w:rFonts w:ascii="Helvetica" w:hAnsi="Helvetica" w:cs="Arial"/>
          <w:sz w:val="20"/>
          <w:szCs w:val="20"/>
        </w:rPr>
      </w:pPr>
      <w:r w:rsidRPr="00C77F4E">
        <w:rPr>
          <w:rFonts w:ascii="Helvetica" w:hAnsi="Helvetica" w:cs="Arial"/>
          <w:sz w:val="20"/>
          <w:szCs w:val="20"/>
        </w:rPr>
        <w:t>I.2.5 Administrative Structure and Governance</w:t>
      </w:r>
    </w:p>
    <w:p w14:paraId="7B21AB88" w14:textId="77777777" w:rsidR="001733FF" w:rsidRPr="00C77F4E" w:rsidRDefault="001733FF" w:rsidP="009F36C5">
      <w:pPr>
        <w:pStyle w:val="ColorfulList-Accent11"/>
        <w:numPr>
          <w:ilvl w:val="1"/>
          <w:numId w:val="20"/>
        </w:numPr>
        <w:spacing w:after="120" w:line="240" w:lineRule="auto"/>
        <w:contextualSpacing w:val="0"/>
        <w:rPr>
          <w:rFonts w:ascii="Helvetica" w:hAnsi="Helvetica" w:cs="Arial"/>
          <w:sz w:val="20"/>
          <w:szCs w:val="20"/>
        </w:rPr>
      </w:pPr>
      <w:r w:rsidRPr="00C77F4E">
        <w:rPr>
          <w:rFonts w:ascii="Helvetica" w:hAnsi="Helvetica" w:cs="Arial"/>
          <w:sz w:val="20"/>
          <w:szCs w:val="20"/>
        </w:rPr>
        <w:t>II.1 Student Performance Criteria</w:t>
      </w:r>
    </w:p>
    <w:p w14:paraId="55BE6B67" w14:textId="77777777" w:rsidR="001733FF" w:rsidRPr="00C77F4E" w:rsidRDefault="001733FF" w:rsidP="009F36C5">
      <w:pPr>
        <w:pStyle w:val="ColorfulList-Accent11"/>
        <w:numPr>
          <w:ilvl w:val="1"/>
          <w:numId w:val="20"/>
        </w:numPr>
        <w:spacing w:after="120" w:line="240" w:lineRule="auto"/>
        <w:contextualSpacing w:val="0"/>
        <w:rPr>
          <w:rFonts w:ascii="Helvetica" w:hAnsi="Helvetica" w:cs="Arial"/>
          <w:sz w:val="20"/>
          <w:szCs w:val="20"/>
        </w:rPr>
      </w:pPr>
      <w:r w:rsidRPr="00C77F4E">
        <w:rPr>
          <w:rFonts w:ascii="Helvetica" w:hAnsi="Helvetica" w:cs="Arial"/>
          <w:sz w:val="20"/>
          <w:szCs w:val="20"/>
        </w:rPr>
        <w:t xml:space="preserve">II.2.1 </w:t>
      </w:r>
      <w:r w:rsidR="00053CC2" w:rsidRPr="00C77F4E">
        <w:rPr>
          <w:rFonts w:ascii="Helvetica" w:hAnsi="Helvetica" w:cs="Arial"/>
          <w:sz w:val="20"/>
          <w:szCs w:val="20"/>
        </w:rPr>
        <w:t xml:space="preserve">Institutional </w:t>
      </w:r>
      <w:r w:rsidRPr="00C77F4E">
        <w:rPr>
          <w:rFonts w:ascii="Helvetica" w:hAnsi="Helvetica" w:cs="Arial"/>
          <w:sz w:val="20"/>
          <w:szCs w:val="20"/>
        </w:rPr>
        <w:t>Accreditation</w:t>
      </w:r>
    </w:p>
    <w:p w14:paraId="052B36F2" w14:textId="77777777" w:rsidR="001733FF" w:rsidRPr="00C77F4E" w:rsidRDefault="001733FF" w:rsidP="009F36C5">
      <w:pPr>
        <w:pStyle w:val="ColorfulList-Accent11"/>
        <w:numPr>
          <w:ilvl w:val="1"/>
          <w:numId w:val="20"/>
        </w:numPr>
        <w:spacing w:after="120" w:line="240" w:lineRule="auto"/>
        <w:contextualSpacing w:val="0"/>
        <w:rPr>
          <w:rFonts w:ascii="Helvetica" w:hAnsi="Helvetica" w:cs="Arial"/>
          <w:sz w:val="20"/>
          <w:szCs w:val="20"/>
        </w:rPr>
      </w:pPr>
      <w:r w:rsidRPr="00C77F4E">
        <w:rPr>
          <w:rFonts w:ascii="Helvetica" w:hAnsi="Helvetica" w:cs="Arial"/>
          <w:sz w:val="20"/>
          <w:szCs w:val="20"/>
        </w:rPr>
        <w:t>II.2.2 Professional Degrees and Curriculum</w:t>
      </w:r>
    </w:p>
    <w:p w14:paraId="65E7A44C" w14:textId="77777777" w:rsidR="001733FF" w:rsidRPr="00C77F4E" w:rsidRDefault="001733FF" w:rsidP="009F36C5">
      <w:pPr>
        <w:pStyle w:val="ColorfulList-Accent11"/>
        <w:numPr>
          <w:ilvl w:val="1"/>
          <w:numId w:val="20"/>
        </w:numPr>
        <w:spacing w:after="120" w:line="240" w:lineRule="auto"/>
        <w:contextualSpacing w:val="0"/>
        <w:rPr>
          <w:rFonts w:ascii="Helvetica" w:hAnsi="Helvetica" w:cs="Arial"/>
          <w:sz w:val="20"/>
          <w:szCs w:val="20"/>
        </w:rPr>
      </w:pPr>
      <w:r w:rsidRPr="00C77F4E">
        <w:rPr>
          <w:rFonts w:ascii="Helvetica" w:hAnsi="Helvetica" w:cs="Arial"/>
          <w:sz w:val="20"/>
          <w:szCs w:val="20"/>
        </w:rPr>
        <w:t>II.3 Evaluation of Preparatory</w:t>
      </w:r>
      <w:r w:rsidR="00053CC2" w:rsidRPr="00C77F4E">
        <w:rPr>
          <w:rFonts w:ascii="Helvetica" w:hAnsi="Helvetica" w:cs="Arial"/>
          <w:sz w:val="20"/>
          <w:szCs w:val="20"/>
        </w:rPr>
        <w:t xml:space="preserve"> </w:t>
      </w:r>
      <w:r w:rsidRPr="00C77F4E">
        <w:rPr>
          <w:rFonts w:ascii="Helvetica" w:hAnsi="Helvetica" w:cs="Arial"/>
          <w:sz w:val="20"/>
          <w:szCs w:val="20"/>
        </w:rPr>
        <w:t>Education</w:t>
      </w:r>
    </w:p>
    <w:p w14:paraId="0296F545" w14:textId="77777777" w:rsidR="001733FF" w:rsidRPr="00C77F4E" w:rsidRDefault="001733FF" w:rsidP="009F36C5">
      <w:pPr>
        <w:pStyle w:val="ColorfulList-Accent11"/>
        <w:numPr>
          <w:ilvl w:val="1"/>
          <w:numId w:val="20"/>
        </w:numPr>
        <w:spacing w:after="120" w:line="240" w:lineRule="auto"/>
        <w:contextualSpacing w:val="0"/>
        <w:rPr>
          <w:rFonts w:ascii="Helvetica" w:hAnsi="Helvetica" w:cs="Arial"/>
          <w:sz w:val="20"/>
          <w:szCs w:val="20"/>
        </w:rPr>
      </w:pPr>
      <w:r w:rsidRPr="00C77F4E">
        <w:rPr>
          <w:rFonts w:ascii="Helvetica" w:hAnsi="Helvetica" w:cs="Arial"/>
          <w:sz w:val="20"/>
          <w:szCs w:val="20"/>
        </w:rPr>
        <w:t>II.4 Public Information</w:t>
      </w:r>
    </w:p>
    <w:p w14:paraId="744BFCA1" w14:textId="77777777" w:rsidR="001733FF" w:rsidRPr="00C77F4E" w:rsidRDefault="001733FF" w:rsidP="009F36C5">
      <w:pPr>
        <w:pStyle w:val="ColorfulList-Accent11"/>
        <w:numPr>
          <w:ilvl w:val="1"/>
          <w:numId w:val="20"/>
        </w:numPr>
        <w:spacing w:after="120" w:line="240" w:lineRule="auto"/>
        <w:contextualSpacing w:val="0"/>
        <w:rPr>
          <w:rFonts w:ascii="Helvetica" w:hAnsi="Helvetica" w:cs="Arial"/>
          <w:sz w:val="20"/>
          <w:szCs w:val="20"/>
        </w:rPr>
      </w:pPr>
      <w:r w:rsidRPr="00C77F4E">
        <w:rPr>
          <w:rFonts w:ascii="Helvetica" w:hAnsi="Helvetica" w:cs="Arial"/>
          <w:sz w:val="20"/>
          <w:szCs w:val="20"/>
        </w:rPr>
        <w:t>III.1.1 Annual Statistical Reports</w:t>
      </w:r>
    </w:p>
    <w:p w14:paraId="22279EE9" w14:textId="77777777" w:rsidR="001733FF" w:rsidRPr="00C77F4E" w:rsidRDefault="001733FF" w:rsidP="009F36C5">
      <w:pPr>
        <w:pStyle w:val="ColorfulList-Accent11"/>
        <w:numPr>
          <w:ilvl w:val="1"/>
          <w:numId w:val="20"/>
        </w:numPr>
        <w:spacing w:after="120" w:line="240" w:lineRule="auto"/>
        <w:contextualSpacing w:val="0"/>
        <w:rPr>
          <w:rFonts w:ascii="Helvetica" w:hAnsi="Helvetica" w:cs="Arial"/>
          <w:sz w:val="20"/>
          <w:szCs w:val="20"/>
        </w:rPr>
      </w:pPr>
      <w:r w:rsidRPr="00C77F4E">
        <w:rPr>
          <w:rFonts w:ascii="Helvetica" w:hAnsi="Helvetica" w:cs="Arial"/>
          <w:sz w:val="20"/>
          <w:szCs w:val="20"/>
        </w:rPr>
        <w:t>III.1.2 Interim Progress Reports</w:t>
      </w:r>
    </w:p>
    <w:p w14:paraId="650802C5" w14:textId="77777777" w:rsidR="001733FF" w:rsidRPr="00C77F4E" w:rsidRDefault="001733FF" w:rsidP="009F36C5">
      <w:pPr>
        <w:pStyle w:val="ColorfulList-Accent11"/>
        <w:numPr>
          <w:ilvl w:val="0"/>
          <w:numId w:val="20"/>
        </w:numPr>
        <w:spacing w:after="120" w:line="240" w:lineRule="auto"/>
        <w:contextualSpacing w:val="0"/>
        <w:rPr>
          <w:rFonts w:ascii="Helvetica" w:hAnsi="Helvetica" w:cs="Arial"/>
          <w:sz w:val="20"/>
          <w:szCs w:val="20"/>
        </w:rPr>
      </w:pPr>
      <w:r w:rsidRPr="00C77F4E">
        <w:rPr>
          <w:rFonts w:ascii="Helvetica" w:hAnsi="Helvetica" w:cs="Arial"/>
          <w:sz w:val="20"/>
          <w:szCs w:val="20"/>
        </w:rPr>
        <w:t>APR – Section 4 – Supplemental Material</w:t>
      </w:r>
    </w:p>
    <w:p w14:paraId="7F5F2D42" w14:textId="77777777" w:rsidR="001733FF" w:rsidRPr="00C77F4E" w:rsidRDefault="001733FF" w:rsidP="002F5349">
      <w:pPr>
        <w:pStyle w:val="ColorfulList-Accent11"/>
        <w:spacing w:after="120" w:line="240" w:lineRule="auto"/>
        <w:ind w:left="0"/>
        <w:contextualSpacing w:val="0"/>
        <w:rPr>
          <w:rFonts w:ascii="Helvetica" w:hAnsi="Helvetica" w:cs="Arial"/>
          <w:sz w:val="20"/>
          <w:szCs w:val="20"/>
        </w:rPr>
      </w:pPr>
      <w:r w:rsidRPr="00C77F4E">
        <w:rPr>
          <w:rFonts w:ascii="Helvetica" w:hAnsi="Helvetica" w:cs="Arial"/>
          <w:sz w:val="20"/>
          <w:szCs w:val="20"/>
        </w:rPr>
        <w:t xml:space="preserve">The NAAB may choose to modify file size, page limits, and the format of </w:t>
      </w:r>
      <w:r w:rsidRPr="00C77F4E">
        <w:rPr>
          <w:rFonts w:ascii="Helvetica" w:hAnsi="Helvetica" w:cs="Arial"/>
          <w:i/>
          <w:sz w:val="20"/>
          <w:szCs w:val="20"/>
        </w:rPr>
        <w:t>APRs</w:t>
      </w:r>
      <w:r w:rsidRPr="00C77F4E">
        <w:rPr>
          <w:rFonts w:ascii="Helvetica" w:hAnsi="Helvetica" w:cs="Arial"/>
          <w:sz w:val="20"/>
          <w:szCs w:val="20"/>
        </w:rPr>
        <w:t xml:space="preserve"> in succeeding editions of the </w:t>
      </w:r>
      <w:r w:rsidRPr="00C77F4E">
        <w:rPr>
          <w:rFonts w:ascii="Helvetica" w:hAnsi="Helvetica" w:cs="Arial"/>
          <w:i/>
          <w:sz w:val="20"/>
          <w:szCs w:val="20"/>
        </w:rPr>
        <w:t>Procedures for Accreditation</w:t>
      </w:r>
      <w:r w:rsidRPr="00C77F4E">
        <w:rPr>
          <w:rFonts w:ascii="Helvetica" w:hAnsi="Helvetica" w:cs="Arial"/>
          <w:sz w:val="20"/>
          <w:szCs w:val="20"/>
        </w:rPr>
        <w:t xml:space="preserve">. Please consult the current edition of the </w:t>
      </w:r>
      <w:r w:rsidRPr="00C77F4E">
        <w:rPr>
          <w:rFonts w:ascii="Helvetica" w:hAnsi="Helvetica" w:cs="Arial"/>
          <w:i/>
          <w:sz w:val="20"/>
          <w:szCs w:val="20"/>
        </w:rPr>
        <w:t xml:space="preserve">Procedures </w:t>
      </w:r>
      <w:r w:rsidRPr="00C77F4E">
        <w:rPr>
          <w:rFonts w:ascii="Helvetica" w:hAnsi="Helvetica" w:cs="Arial"/>
          <w:sz w:val="20"/>
          <w:szCs w:val="20"/>
        </w:rPr>
        <w:t xml:space="preserve">for the most current information before preparing or submitting an </w:t>
      </w:r>
      <w:r w:rsidRPr="00C77F4E">
        <w:rPr>
          <w:rFonts w:ascii="Helvetica" w:hAnsi="Helvetica" w:cs="Arial"/>
          <w:i/>
          <w:sz w:val="20"/>
          <w:szCs w:val="20"/>
        </w:rPr>
        <w:t>APR</w:t>
      </w:r>
      <w:r w:rsidRPr="00C77F4E">
        <w:rPr>
          <w:rFonts w:ascii="Helvetica" w:hAnsi="Helvetica" w:cs="Arial"/>
          <w:sz w:val="20"/>
          <w:szCs w:val="20"/>
        </w:rPr>
        <w:t>.</w:t>
      </w:r>
    </w:p>
    <w:p w14:paraId="01583A30" w14:textId="543100BC" w:rsidR="001733FF" w:rsidRPr="00C77F4E" w:rsidRDefault="001733FF" w:rsidP="002F5349">
      <w:pPr>
        <w:pStyle w:val="ColorfulList-Accent11"/>
        <w:spacing w:after="120" w:line="240" w:lineRule="auto"/>
        <w:ind w:left="0"/>
        <w:contextualSpacing w:val="0"/>
        <w:rPr>
          <w:rFonts w:ascii="Helvetica" w:hAnsi="Helvetica" w:cs="Arial"/>
          <w:sz w:val="20"/>
          <w:szCs w:val="20"/>
        </w:rPr>
      </w:pPr>
      <w:r w:rsidRPr="00C77F4E">
        <w:rPr>
          <w:rFonts w:ascii="Helvetica" w:hAnsi="Helvetica" w:cs="Arial"/>
          <w:sz w:val="20"/>
          <w:szCs w:val="20"/>
        </w:rPr>
        <w:t>More specific instructions for preparing each section of the APR follow</w:t>
      </w:r>
      <w:r w:rsidR="00E767FB" w:rsidRPr="00C77F4E">
        <w:rPr>
          <w:rFonts w:ascii="Helvetica" w:hAnsi="Helvetica" w:cs="Arial"/>
          <w:sz w:val="20"/>
          <w:szCs w:val="20"/>
        </w:rPr>
        <w:t xml:space="preserve"> (see also the template on the NAAB </w:t>
      </w:r>
      <w:hyperlink r:id="rId11" w:history="1">
        <w:r w:rsidR="00E767FB" w:rsidRPr="00C77F4E">
          <w:rPr>
            <w:rStyle w:val="Hyperlink"/>
            <w:rFonts w:ascii="Helvetica" w:hAnsi="Helvetica" w:cs="Arial"/>
            <w:sz w:val="20"/>
            <w:szCs w:val="20"/>
          </w:rPr>
          <w:t>website</w:t>
        </w:r>
      </w:hyperlink>
      <w:r w:rsidR="009F36C5">
        <w:rPr>
          <w:rStyle w:val="Hyperlink"/>
          <w:rFonts w:ascii="Helvetica" w:hAnsi="Helvetica" w:cs="Arial"/>
          <w:sz w:val="20"/>
          <w:szCs w:val="20"/>
        </w:rPr>
        <w:t>)</w:t>
      </w:r>
      <w:r w:rsidRPr="00C77F4E">
        <w:rPr>
          <w:rFonts w:ascii="Helvetica" w:hAnsi="Helvetica" w:cs="Arial"/>
          <w:sz w:val="20"/>
          <w:szCs w:val="20"/>
        </w:rPr>
        <w:t>:</w:t>
      </w:r>
    </w:p>
    <w:p w14:paraId="30BCE4A2" w14:textId="0ECC999E" w:rsidR="001733FF" w:rsidRPr="00C77F4E" w:rsidRDefault="00E767FB" w:rsidP="00FC7A43">
      <w:pPr>
        <w:pStyle w:val="Heading2"/>
        <w:spacing w:before="0" w:after="120" w:line="240" w:lineRule="auto"/>
        <w:rPr>
          <w:rFonts w:ascii="Helvetica" w:hAnsi="Helvetica" w:cs="Arial"/>
          <w:i w:val="0"/>
          <w:sz w:val="20"/>
          <w:szCs w:val="20"/>
        </w:rPr>
      </w:pPr>
      <w:bookmarkStart w:id="7" w:name="_Toc462758516"/>
      <w:r w:rsidRPr="00C77F4E">
        <w:rPr>
          <w:rFonts w:ascii="Helvetica" w:hAnsi="Helvetica" w:cs="Arial"/>
          <w:i w:val="0"/>
          <w:sz w:val="20"/>
          <w:szCs w:val="20"/>
        </w:rPr>
        <w:t>Cover Pag</w:t>
      </w:r>
      <w:r w:rsidR="001733FF" w:rsidRPr="00C77F4E">
        <w:rPr>
          <w:rFonts w:ascii="Helvetica" w:hAnsi="Helvetica" w:cs="Arial"/>
          <w:i w:val="0"/>
          <w:sz w:val="20"/>
          <w:szCs w:val="20"/>
        </w:rPr>
        <w:t>e</w:t>
      </w:r>
      <w:bookmarkEnd w:id="7"/>
    </w:p>
    <w:p w14:paraId="599BE03C" w14:textId="77777777" w:rsidR="001733FF" w:rsidRPr="00C77F4E" w:rsidRDefault="001733FF" w:rsidP="002F5349">
      <w:pPr>
        <w:spacing w:after="120" w:line="240" w:lineRule="auto"/>
        <w:rPr>
          <w:rFonts w:ascii="Helvetica" w:hAnsi="Helvetica" w:cs="Arial"/>
          <w:sz w:val="20"/>
          <w:szCs w:val="20"/>
        </w:rPr>
      </w:pPr>
      <w:r w:rsidRPr="00C77F4E">
        <w:rPr>
          <w:rFonts w:ascii="Helvetica" w:hAnsi="Helvetica" w:cs="Arial"/>
          <w:sz w:val="20"/>
          <w:szCs w:val="20"/>
        </w:rPr>
        <w:t>The program must list the degree program(s) being evaluated using the standard NAAB nomenclature. This nomenclature includes the degree title (e.g., M. Arch.), the total number of credits in the degree program (e.g., 60 semester credits), and any prerequisites (e.g., preprofessional degree in architecture). A sample follows:</w:t>
      </w:r>
    </w:p>
    <w:p w14:paraId="4BF64AC8" w14:textId="77777777" w:rsidR="001733FF" w:rsidRPr="00C77F4E" w:rsidRDefault="001733FF" w:rsidP="002F5349">
      <w:pPr>
        <w:spacing w:after="120" w:line="240" w:lineRule="auto"/>
        <w:ind w:left="720"/>
        <w:rPr>
          <w:rFonts w:ascii="Helvetica" w:hAnsi="Helvetica" w:cs="Arial"/>
          <w:sz w:val="20"/>
          <w:szCs w:val="20"/>
        </w:rPr>
      </w:pPr>
      <w:r w:rsidRPr="00C77F4E">
        <w:rPr>
          <w:rFonts w:ascii="Helvetica" w:hAnsi="Helvetica" w:cs="Arial"/>
          <w:sz w:val="20"/>
          <w:szCs w:val="20"/>
        </w:rPr>
        <w:t>Master of Architecture (preprofessional degree + 60 semester credits)</w:t>
      </w:r>
    </w:p>
    <w:p w14:paraId="429FA8E2" w14:textId="77777777" w:rsidR="001733FF" w:rsidRPr="00C77F4E" w:rsidRDefault="001733FF" w:rsidP="002F5349">
      <w:pPr>
        <w:spacing w:after="120" w:line="240" w:lineRule="auto"/>
        <w:rPr>
          <w:rFonts w:ascii="Helvetica" w:hAnsi="Helvetica" w:cs="Arial"/>
          <w:sz w:val="20"/>
          <w:szCs w:val="20"/>
        </w:rPr>
      </w:pPr>
      <w:r w:rsidRPr="00C77F4E">
        <w:rPr>
          <w:rFonts w:ascii="Helvetica" w:hAnsi="Helvetica" w:cs="Arial"/>
          <w:sz w:val="20"/>
          <w:szCs w:val="20"/>
        </w:rPr>
        <w:t>If the program has more than one track for completion of the NAAB-accredited degree, these must also be listed using the same schema. For example:</w:t>
      </w:r>
    </w:p>
    <w:p w14:paraId="021EB1DC" w14:textId="77777777" w:rsidR="001733FF" w:rsidRPr="00C77F4E" w:rsidRDefault="001733FF" w:rsidP="002F5349">
      <w:pPr>
        <w:spacing w:after="120" w:line="240" w:lineRule="auto"/>
        <w:ind w:left="720"/>
        <w:rPr>
          <w:rFonts w:ascii="Helvetica" w:hAnsi="Helvetica" w:cs="Arial"/>
          <w:sz w:val="20"/>
          <w:szCs w:val="20"/>
        </w:rPr>
      </w:pPr>
      <w:r w:rsidRPr="00C77F4E">
        <w:rPr>
          <w:rFonts w:ascii="Helvetica" w:hAnsi="Helvetica" w:cs="Arial"/>
          <w:sz w:val="20"/>
          <w:szCs w:val="20"/>
        </w:rPr>
        <w:t>Master of Architecture (preprofessional degree + 60 semester credits)</w:t>
      </w:r>
    </w:p>
    <w:p w14:paraId="6E99EA89" w14:textId="77777777" w:rsidR="001733FF" w:rsidRPr="00C77F4E" w:rsidRDefault="001733FF" w:rsidP="002F5349">
      <w:pPr>
        <w:spacing w:after="120" w:line="240" w:lineRule="auto"/>
        <w:ind w:left="720"/>
        <w:rPr>
          <w:rFonts w:ascii="Helvetica" w:hAnsi="Helvetica" w:cs="Arial"/>
          <w:sz w:val="20"/>
          <w:szCs w:val="20"/>
        </w:rPr>
      </w:pPr>
      <w:r w:rsidRPr="00C77F4E">
        <w:rPr>
          <w:rFonts w:ascii="Helvetica" w:hAnsi="Helvetica" w:cs="Arial"/>
          <w:sz w:val="20"/>
          <w:szCs w:val="20"/>
        </w:rPr>
        <w:t>Master of Architecture (</w:t>
      </w:r>
      <w:proofErr w:type="spellStart"/>
      <w:r w:rsidRPr="00C77F4E">
        <w:rPr>
          <w:rFonts w:ascii="Helvetica" w:hAnsi="Helvetica" w:cs="Arial"/>
          <w:sz w:val="20"/>
          <w:szCs w:val="20"/>
        </w:rPr>
        <w:t>nonpreprofessional</w:t>
      </w:r>
      <w:proofErr w:type="spellEnd"/>
      <w:r w:rsidRPr="00C77F4E">
        <w:rPr>
          <w:rFonts w:ascii="Helvetica" w:hAnsi="Helvetica" w:cs="Arial"/>
          <w:sz w:val="20"/>
          <w:szCs w:val="20"/>
        </w:rPr>
        <w:t xml:space="preserve"> degree + 95 semester credits)</w:t>
      </w:r>
    </w:p>
    <w:p w14:paraId="21C76AA8" w14:textId="613F0021" w:rsidR="001733FF" w:rsidRPr="00C77F4E" w:rsidRDefault="001733FF" w:rsidP="002F5349">
      <w:pPr>
        <w:spacing w:after="120" w:line="240" w:lineRule="auto"/>
        <w:rPr>
          <w:rFonts w:ascii="Helvetica" w:hAnsi="Helvetica" w:cs="Arial"/>
          <w:sz w:val="20"/>
          <w:szCs w:val="20"/>
        </w:rPr>
      </w:pPr>
      <w:r w:rsidRPr="00C77F4E">
        <w:rPr>
          <w:rFonts w:ascii="Helvetica" w:hAnsi="Helvetica" w:cs="Arial"/>
          <w:sz w:val="20"/>
          <w:szCs w:val="20"/>
        </w:rPr>
        <w:t>The degree program must also list the names and contact information, including mailing address</w:t>
      </w:r>
      <w:r w:rsidR="002D5533" w:rsidRPr="00C77F4E">
        <w:rPr>
          <w:rFonts w:ascii="Helvetica" w:hAnsi="Helvetica" w:cs="Arial"/>
          <w:sz w:val="20"/>
          <w:szCs w:val="20"/>
        </w:rPr>
        <w:t>es</w:t>
      </w:r>
      <w:r w:rsidR="005C4390" w:rsidRPr="00C77F4E">
        <w:rPr>
          <w:rStyle w:val="FootnoteReference"/>
          <w:rFonts w:ascii="Helvetica" w:hAnsi="Helvetica" w:cs="Arial"/>
          <w:sz w:val="20"/>
          <w:szCs w:val="20"/>
        </w:rPr>
        <w:footnoteReference w:id="1"/>
      </w:r>
      <w:r w:rsidRPr="00C77F4E">
        <w:rPr>
          <w:rFonts w:ascii="Helvetica" w:hAnsi="Helvetica" w:cs="Arial"/>
          <w:sz w:val="20"/>
          <w:szCs w:val="20"/>
        </w:rPr>
        <w:t>, for the program administrator, the head of the academic unit in which the program is located, the chief academic officer, and the president of the institution.</w:t>
      </w:r>
    </w:p>
    <w:p w14:paraId="22EE7D4B" w14:textId="77777777" w:rsidR="001733FF" w:rsidRPr="00C77F4E" w:rsidRDefault="001733FF" w:rsidP="00FC7A43">
      <w:pPr>
        <w:pStyle w:val="Heading2"/>
        <w:rPr>
          <w:rFonts w:ascii="Helvetica" w:hAnsi="Helvetica" w:cs="Arial"/>
          <w:i w:val="0"/>
          <w:sz w:val="20"/>
          <w:szCs w:val="20"/>
        </w:rPr>
      </w:pPr>
      <w:bookmarkStart w:id="8" w:name="_Toc462758517"/>
      <w:r w:rsidRPr="00C77F4E">
        <w:rPr>
          <w:rFonts w:ascii="Helvetica" w:hAnsi="Helvetica" w:cs="Arial"/>
          <w:i w:val="0"/>
          <w:sz w:val="20"/>
          <w:szCs w:val="20"/>
        </w:rPr>
        <w:t>APR – Section 1 – Program Description</w:t>
      </w:r>
      <w:bookmarkEnd w:id="8"/>
      <w:r w:rsidRPr="00C77F4E">
        <w:rPr>
          <w:rFonts w:ascii="Helvetica" w:hAnsi="Helvetica" w:cs="Arial"/>
          <w:i w:val="0"/>
          <w:sz w:val="20"/>
          <w:szCs w:val="20"/>
        </w:rPr>
        <w:t xml:space="preserve"> </w:t>
      </w:r>
    </w:p>
    <w:p w14:paraId="324967CF" w14:textId="77777777" w:rsidR="001733FF" w:rsidRPr="00C77F4E" w:rsidRDefault="001733FF" w:rsidP="002F5349">
      <w:pPr>
        <w:spacing w:after="120" w:line="240" w:lineRule="auto"/>
        <w:rPr>
          <w:rFonts w:ascii="Helvetica" w:hAnsi="Helvetica" w:cs="Arial"/>
          <w:sz w:val="20"/>
          <w:szCs w:val="20"/>
        </w:rPr>
      </w:pPr>
      <w:r w:rsidRPr="00C77F4E">
        <w:rPr>
          <w:rFonts w:ascii="Helvetica" w:hAnsi="Helvetica" w:cs="Arial"/>
          <w:sz w:val="20"/>
          <w:szCs w:val="20"/>
        </w:rPr>
        <w:t xml:space="preserve">In this section of the APR, the program </w:t>
      </w:r>
      <w:r w:rsidR="00561032" w:rsidRPr="00C77F4E">
        <w:rPr>
          <w:rFonts w:ascii="Helvetica" w:hAnsi="Helvetica" w:cs="Arial"/>
          <w:sz w:val="20"/>
          <w:szCs w:val="20"/>
        </w:rPr>
        <w:t>introduces itself to the team through</w:t>
      </w:r>
      <w:r w:rsidRPr="00C77F4E">
        <w:rPr>
          <w:rFonts w:ascii="Helvetica" w:hAnsi="Helvetica" w:cs="Arial"/>
          <w:sz w:val="20"/>
          <w:szCs w:val="20"/>
        </w:rPr>
        <w:t xml:space="preserve"> its responses to the following section(s) of Part I of </w:t>
      </w:r>
      <w:r w:rsidRPr="00C77F4E">
        <w:rPr>
          <w:rFonts w:ascii="Helvetica" w:hAnsi="Helvetica" w:cs="Arial"/>
          <w:i/>
          <w:sz w:val="20"/>
          <w:szCs w:val="20"/>
        </w:rPr>
        <w:t>The Conditions for Accreditation</w:t>
      </w:r>
      <w:r w:rsidRPr="00C77F4E">
        <w:rPr>
          <w:rFonts w:ascii="Helvetica" w:hAnsi="Helvetica" w:cs="Arial"/>
          <w:sz w:val="20"/>
          <w:szCs w:val="20"/>
        </w:rPr>
        <w:t>:</w:t>
      </w:r>
    </w:p>
    <w:p w14:paraId="45204791" w14:textId="77777777" w:rsidR="001733FF" w:rsidRPr="00C77F4E" w:rsidRDefault="001733FF" w:rsidP="002F5349">
      <w:pPr>
        <w:spacing w:after="120" w:line="240" w:lineRule="auto"/>
        <w:rPr>
          <w:rFonts w:ascii="Helvetica" w:hAnsi="Helvetica" w:cs="Arial"/>
          <w:sz w:val="20"/>
          <w:szCs w:val="20"/>
        </w:rPr>
      </w:pPr>
      <w:r w:rsidRPr="00C77F4E">
        <w:rPr>
          <w:rFonts w:ascii="Helvetica" w:hAnsi="Helvetica" w:cs="Arial"/>
          <w:sz w:val="20"/>
          <w:szCs w:val="20"/>
        </w:rPr>
        <w:t>These descriptions must be included in the APR, although they will not be evaluated during the visit or assessed in the Visiting Team Report.  Where appropriate, the program may include an active web link in the APR. In the absence of a web link, the information must be supplied in the APR.</w:t>
      </w:r>
    </w:p>
    <w:p w14:paraId="02665794" w14:textId="77777777" w:rsidR="001733FF" w:rsidRPr="00C77F4E" w:rsidRDefault="001733FF" w:rsidP="002F5349">
      <w:pPr>
        <w:spacing w:after="120" w:line="240" w:lineRule="auto"/>
        <w:rPr>
          <w:rFonts w:ascii="Helvetica" w:hAnsi="Helvetica" w:cs="Arial"/>
          <w:sz w:val="20"/>
          <w:szCs w:val="20"/>
        </w:rPr>
      </w:pPr>
      <w:r w:rsidRPr="00C77F4E">
        <w:rPr>
          <w:rFonts w:ascii="Helvetica" w:hAnsi="Helvetica" w:cs="Arial"/>
          <w:sz w:val="20"/>
          <w:szCs w:val="20"/>
        </w:rPr>
        <w:t>This section is limited to 15 pages, total.</w:t>
      </w:r>
    </w:p>
    <w:p w14:paraId="2B3A6A56" w14:textId="77777777" w:rsidR="001733FF" w:rsidRPr="00C77F4E" w:rsidRDefault="001733FF" w:rsidP="002F5349">
      <w:pPr>
        <w:pStyle w:val="Heading2"/>
        <w:spacing w:before="0" w:after="120" w:line="240" w:lineRule="auto"/>
        <w:rPr>
          <w:rFonts w:ascii="Helvetica" w:hAnsi="Helvetica" w:cs="Arial"/>
          <w:sz w:val="20"/>
          <w:szCs w:val="20"/>
        </w:rPr>
      </w:pPr>
      <w:bookmarkStart w:id="9" w:name="_Toc358370816"/>
      <w:bookmarkStart w:id="10" w:name="_Toc462758518"/>
      <w:bookmarkStart w:id="11" w:name="_Toc232416578"/>
      <w:r w:rsidRPr="00C77F4E">
        <w:rPr>
          <w:rFonts w:ascii="Helvetica" w:hAnsi="Helvetica" w:cs="Arial"/>
          <w:i w:val="0"/>
          <w:sz w:val="20"/>
          <w:szCs w:val="20"/>
        </w:rPr>
        <w:t>I.1.1 History and Mission</w:t>
      </w:r>
      <w:r w:rsidRPr="00C77F4E">
        <w:rPr>
          <w:rFonts w:ascii="Helvetica" w:hAnsi="Helvetica" w:cs="Arial"/>
          <w:b w:val="0"/>
          <w:i w:val="0"/>
          <w:sz w:val="20"/>
          <w:szCs w:val="20"/>
        </w:rPr>
        <w:t>:</w:t>
      </w:r>
      <w:bookmarkEnd w:id="9"/>
      <w:bookmarkEnd w:id="10"/>
      <w:r w:rsidRPr="00C77F4E">
        <w:rPr>
          <w:rFonts w:ascii="Helvetica" w:hAnsi="Helvetica" w:cs="Arial"/>
          <w:b w:val="0"/>
          <w:i w:val="0"/>
          <w:sz w:val="20"/>
          <w:szCs w:val="20"/>
        </w:rPr>
        <w:t xml:space="preserve"> </w:t>
      </w:r>
      <w:bookmarkEnd w:id="11"/>
    </w:p>
    <w:p w14:paraId="7B0E271A" w14:textId="77777777" w:rsidR="001733FF" w:rsidRPr="00C77F4E" w:rsidRDefault="001733FF" w:rsidP="002F5349">
      <w:pPr>
        <w:spacing w:after="120" w:line="240" w:lineRule="auto"/>
        <w:rPr>
          <w:rFonts w:ascii="Helvetica" w:hAnsi="Helvetica" w:cs="Arial"/>
          <w:i/>
          <w:sz w:val="20"/>
          <w:szCs w:val="20"/>
        </w:rPr>
      </w:pPr>
      <w:r w:rsidRPr="00C77F4E">
        <w:rPr>
          <w:rFonts w:ascii="Helvetica" w:hAnsi="Helvetica" w:cs="Arial"/>
          <w:i/>
          <w:sz w:val="20"/>
          <w:szCs w:val="20"/>
        </w:rPr>
        <w:t>The APR must include the following:</w:t>
      </w:r>
    </w:p>
    <w:p w14:paraId="68FF1AB0" w14:textId="77777777" w:rsidR="001733FF" w:rsidRPr="00C77F4E" w:rsidRDefault="001733FF" w:rsidP="002F5349">
      <w:pPr>
        <w:numPr>
          <w:ilvl w:val="0"/>
          <w:numId w:val="16"/>
        </w:numPr>
        <w:spacing w:after="120" w:line="240" w:lineRule="auto"/>
        <w:rPr>
          <w:rFonts w:ascii="Helvetica" w:hAnsi="Helvetica" w:cs="Arial"/>
          <w:i/>
          <w:sz w:val="20"/>
          <w:szCs w:val="20"/>
        </w:rPr>
      </w:pPr>
      <w:r w:rsidRPr="00C77F4E">
        <w:rPr>
          <w:rFonts w:ascii="Helvetica" w:hAnsi="Helvetica" w:cs="Arial"/>
          <w:i/>
          <w:sz w:val="20"/>
          <w:szCs w:val="20"/>
        </w:rPr>
        <w:t>A brief history of the institution, its mission, founding principles, and a description of how that is expressed in the context of 21</w:t>
      </w:r>
      <w:r w:rsidRPr="00C77F4E">
        <w:rPr>
          <w:rFonts w:ascii="Helvetica" w:hAnsi="Helvetica" w:cs="Arial"/>
          <w:i/>
          <w:sz w:val="20"/>
          <w:szCs w:val="20"/>
          <w:vertAlign w:val="superscript"/>
        </w:rPr>
        <w:t>st</w:t>
      </w:r>
      <w:r w:rsidR="00BE6D3E" w:rsidRPr="00C77F4E">
        <w:rPr>
          <w:rFonts w:ascii="Helvetica" w:hAnsi="Helvetica" w:cs="Arial"/>
          <w:i/>
          <w:sz w:val="20"/>
          <w:szCs w:val="20"/>
        </w:rPr>
        <w:t xml:space="preserve"> century, U.S. </w:t>
      </w:r>
      <w:r w:rsidRPr="00C77F4E">
        <w:rPr>
          <w:rFonts w:ascii="Helvetica" w:hAnsi="Helvetica" w:cs="Arial"/>
          <w:i/>
          <w:sz w:val="20"/>
          <w:szCs w:val="20"/>
        </w:rPr>
        <w:t>higher education</w:t>
      </w:r>
    </w:p>
    <w:p w14:paraId="1DAFB0B9" w14:textId="77777777" w:rsidR="001733FF" w:rsidRPr="00C77F4E" w:rsidRDefault="001733FF" w:rsidP="002F5349">
      <w:pPr>
        <w:numPr>
          <w:ilvl w:val="0"/>
          <w:numId w:val="16"/>
        </w:numPr>
        <w:spacing w:after="120" w:line="240" w:lineRule="auto"/>
        <w:rPr>
          <w:rFonts w:ascii="Helvetica" w:hAnsi="Helvetica" w:cs="Arial"/>
          <w:i/>
          <w:sz w:val="20"/>
          <w:szCs w:val="20"/>
        </w:rPr>
      </w:pPr>
      <w:r w:rsidRPr="00C77F4E">
        <w:rPr>
          <w:rFonts w:ascii="Helvetica" w:hAnsi="Helvetica" w:cs="Arial"/>
          <w:i/>
          <w:sz w:val="20"/>
          <w:szCs w:val="20"/>
        </w:rPr>
        <w:t>A brief history of the program, its mission, founding principles, and a description of how that is expressed in the context of the 21</w:t>
      </w:r>
      <w:r w:rsidRPr="00C77F4E">
        <w:rPr>
          <w:rFonts w:ascii="Helvetica" w:hAnsi="Helvetica" w:cs="Arial"/>
          <w:i/>
          <w:sz w:val="20"/>
          <w:szCs w:val="20"/>
          <w:vertAlign w:val="superscript"/>
        </w:rPr>
        <w:t>st</w:t>
      </w:r>
      <w:r w:rsidR="00BE6D3E" w:rsidRPr="00C77F4E">
        <w:rPr>
          <w:rFonts w:ascii="Helvetica" w:hAnsi="Helvetica" w:cs="Arial"/>
          <w:i/>
          <w:sz w:val="20"/>
          <w:szCs w:val="20"/>
        </w:rPr>
        <w:t xml:space="preserve"> century, U.S.,</w:t>
      </w:r>
      <w:r w:rsidRPr="00C77F4E">
        <w:rPr>
          <w:rFonts w:ascii="Helvetica" w:hAnsi="Helvetica" w:cs="Arial"/>
          <w:i/>
          <w:sz w:val="20"/>
          <w:szCs w:val="20"/>
        </w:rPr>
        <w:t xml:space="preserve"> architecture education.</w:t>
      </w:r>
    </w:p>
    <w:p w14:paraId="781B7A6D" w14:textId="77777777" w:rsidR="001733FF" w:rsidRPr="00C77F4E" w:rsidRDefault="001733FF" w:rsidP="002F5349">
      <w:pPr>
        <w:numPr>
          <w:ilvl w:val="0"/>
          <w:numId w:val="16"/>
        </w:numPr>
        <w:spacing w:after="120" w:line="240" w:lineRule="auto"/>
        <w:rPr>
          <w:rFonts w:ascii="Helvetica" w:hAnsi="Helvetica" w:cs="Arial"/>
          <w:i/>
          <w:sz w:val="20"/>
          <w:szCs w:val="20"/>
        </w:rPr>
      </w:pPr>
      <w:r w:rsidRPr="00C77F4E">
        <w:rPr>
          <w:rFonts w:ascii="Helvetica" w:hAnsi="Helvetica" w:cs="Arial"/>
          <w:i/>
          <w:sz w:val="20"/>
          <w:szCs w:val="20"/>
        </w:rPr>
        <w:t>A sample of the types of activities and initiatives that demonstrate the program’s benefit to the institution through discovery, teaching, engagement, and service.</w:t>
      </w:r>
    </w:p>
    <w:p w14:paraId="5134A3E7" w14:textId="77777777" w:rsidR="001733FF" w:rsidRPr="00C77F4E" w:rsidRDefault="001733FF" w:rsidP="002F5349">
      <w:pPr>
        <w:numPr>
          <w:ilvl w:val="0"/>
          <w:numId w:val="16"/>
        </w:numPr>
        <w:spacing w:after="120" w:line="240" w:lineRule="auto"/>
        <w:rPr>
          <w:rFonts w:ascii="Helvetica" w:hAnsi="Helvetica" w:cs="Arial"/>
          <w:i/>
          <w:sz w:val="20"/>
          <w:szCs w:val="20"/>
        </w:rPr>
      </w:pPr>
      <w:r w:rsidRPr="00C77F4E">
        <w:rPr>
          <w:rFonts w:ascii="Helvetica" w:hAnsi="Helvetica" w:cs="Arial"/>
          <w:i/>
          <w:sz w:val="20"/>
          <w:szCs w:val="20"/>
        </w:rPr>
        <w:t>A summary of the benefits derived to the program from the institutional setting.</w:t>
      </w:r>
    </w:p>
    <w:p w14:paraId="6B80BBF1" w14:textId="77777777" w:rsidR="001733FF" w:rsidRPr="00C77F4E" w:rsidRDefault="001733FF" w:rsidP="002F5349">
      <w:pPr>
        <w:numPr>
          <w:ilvl w:val="0"/>
          <w:numId w:val="16"/>
        </w:numPr>
        <w:spacing w:after="120" w:line="240" w:lineRule="auto"/>
        <w:rPr>
          <w:rFonts w:ascii="Helvetica" w:hAnsi="Helvetica" w:cs="Arial"/>
          <w:i/>
          <w:sz w:val="20"/>
          <w:szCs w:val="20"/>
        </w:rPr>
      </w:pPr>
      <w:r w:rsidRPr="00C77F4E">
        <w:rPr>
          <w:rFonts w:ascii="Helvetica" w:hAnsi="Helvetica" w:cs="Arial"/>
          <w:i/>
          <w:sz w:val="20"/>
          <w:szCs w:val="20"/>
        </w:rPr>
        <w:t xml:space="preserve">A description of how the program’s course of study encourages the holistic development of young professionals through the </w:t>
      </w:r>
      <w:r w:rsidR="00BE6D3E" w:rsidRPr="00C77F4E">
        <w:rPr>
          <w:rFonts w:ascii="Helvetica" w:hAnsi="Helvetica" w:cs="Arial"/>
          <w:i/>
          <w:sz w:val="20"/>
          <w:szCs w:val="20"/>
        </w:rPr>
        <w:t xml:space="preserve">integrated </w:t>
      </w:r>
      <w:r w:rsidRPr="00C77F4E">
        <w:rPr>
          <w:rFonts w:ascii="Helvetica" w:hAnsi="Helvetica" w:cs="Arial"/>
          <w:i/>
          <w:sz w:val="20"/>
          <w:szCs w:val="20"/>
        </w:rPr>
        <w:t>study of the liberal arts and the specific discipline of architecture.</w:t>
      </w:r>
    </w:p>
    <w:p w14:paraId="44B70363" w14:textId="77777777" w:rsidR="001733FF" w:rsidRPr="00C77F4E" w:rsidRDefault="001733FF" w:rsidP="002F5349">
      <w:pPr>
        <w:pStyle w:val="Heading2"/>
        <w:spacing w:before="0" w:after="120" w:line="240" w:lineRule="auto"/>
        <w:rPr>
          <w:rFonts w:ascii="Helvetica" w:hAnsi="Helvetica" w:cs="Arial"/>
          <w:i w:val="0"/>
          <w:sz w:val="20"/>
          <w:szCs w:val="20"/>
        </w:rPr>
      </w:pPr>
      <w:bookmarkStart w:id="12" w:name="_Toc462758519"/>
      <w:bookmarkStart w:id="13" w:name="_Toc232416579"/>
      <w:bookmarkStart w:id="14" w:name="_Toc358370817"/>
      <w:r w:rsidRPr="00C77F4E">
        <w:rPr>
          <w:rFonts w:ascii="Helvetica" w:hAnsi="Helvetica" w:cs="Arial"/>
          <w:i w:val="0"/>
          <w:sz w:val="20"/>
          <w:szCs w:val="20"/>
        </w:rPr>
        <w:t>I.1.2 Learning Culture</w:t>
      </w:r>
      <w:bookmarkEnd w:id="12"/>
      <w:r w:rsidRPr="00C77F4E">
        <w:rPr>
          <w:rFonts w:ascii="Helvetica" w:hAnsi="Helvetica" w:cs="Arial"/>
          <w:i w:val="0"/>
          <w:sz w:val="20"/>
          <w:szCs w:val="20"/>
        </w:rPr>
        <w:t xml:space="preserve"> </w:t>
      </w:r>
    </w:p>
    <w:p w14:paraId="3C09CA1A" w14:textId="77777777" w:rsidR="0071387B" w:rsidRPr="00C77F4E" w:rsidRDefault="0071387B" w:rsidP="002F5349">
      <w:pPr>
        <w:autoSpaceDE w:val="0"/>
        <w:autoSpaceDN w:val="0"/>
        <w:adjustRightInd w:val="0"/>
        <w:spacing w:after="120" w:line="240" w:lineRule="auto"/>
        <w:rPr>
          <w:rFonts w:ascii="Helvetica" w:hAnsi="Helvetica" w:cs="Arial"/>
          <w:color w:val="000000"/>
          <w:sz w:val="20"/>
          <w:szCs w:val="20"/>
        </w:rPr>
      </w:pPr>
      <w:r w:rsidRPr="00C77F4E">
        <w:rPr>
          <w:rFonts w:ascii="Helvetica" w:hAnsi="Helvetica" w:cs="Arial"/>
          <w:color w:val="000000"/>
          <w:sz w:val="20"/>
          <w:szCs w:val="20"/>
        </w:rPr>
        <w:t>In addition to the matters identified in the Condition, the program should be prepared to describe how studio culture addresses the values of time management, general health and well-being, work-school-life balance, and professional conduct.</w:t>
      </w:r>
    </w:p>
    <w:p w14:paraId="5E9B18D1" w14:textId="77777777" w:rsidR="001733FF" w:rsidRPr="00C77F4E" w:rsidRDefault="001733FF" w:rsidP="002F5349">
      <w:pPr>
        <w:autoSpaceDE w:val="0"/>
        <w:autoSpaceDN w:val="0"/>
        <w:adjustRightInd w:val="0"/>
        <w:spacing w:after="120" w:line="240" w:lineRule="auto"/>
        <w:rPr>
          <w:rFonts w:ascii="Helvetica" w:hAnsi="Helvetica" w:cs="Arial"/>
          <w:i/>
          <w:iCs/>
          <w:sz w:val="20"/>
          <w:szCs w:val="20"/>
        </w:rPr>
      </w:pPr>
      <w:r w:rsidRPr="00C77F4E">
        <w:rPr>
          <w:rFonts w:ascii="Helvetica" w:hAnsi="Helvetica" w:cs="Arial"/>
          <w:i/>
          <w:iCs/>
          <w:sz w:val="20"/>
          <w:szCs w:val="20"/>
        </w:rPr>
        <w:t>The APR must include the following:</w:t>
      </w:r>
    </w:p>
    <w:p w14:paraId="7F13EDCD" w14:textId="77777777" w:rsidR="001733FF" w:rsidRPr="00C77F4E" w:rsidRDefault="001733FF" w:rsidP="009F36C5">
      <w:pPr>
        <w:numPr>
          <w:ilvl w:val="0"/>
          <w:numId w:val="17"/>
        </w:numPr>
        <w:spacing w:after="120" w:line="240" w:lineRule="auto"/>
        <w:rPr>
          <w:rFonts w:ascii="Helvetica" w:hAnsi="Helvetica" w:cs="Arial"/>
          <w:i/>
          <w:sz w:val="20"/>
          <w:szCs w:val="20"/>
        </w:rPr>
      </w:pPr>
      <w:r w:rsidRPr="00C77F4E">
        <w:rPr>
          <w:rFonts w:ascii="Helvetica" w:hAnsi="Helvetica" w:cs="Arial"/>
          <w:i/>
          <w:color w:val="000000"/>
          <w:sz w:val="20"/>
          <w:szCs w:val="20"/>
        </w:rPr>
        <w:t>A description and assessment of the learning culture within the program.</w:t>
      </w:r>
    </w:p>
    <w:p w14:paraId="3A96D68C" w14:textId="77777777" w:rsidR="001733FF" w:rsidRPr="00C77F4E" w:rsidRDefault="001733FF" w:rsidP="009F36C5">
      <w:pPr>
        <w:numPr>
          <w:ilvl w:val="0"/>
          <w:numId w:val="17"/>
        </w:numPr>
        <w:spacing w:after="120" w:line="240" w:lineRule="auto"/>
        <w:rPr>
          <w:rFonts w:ascii="Helvetica" w:hAnsi="Helvetica" w:cs="Arial"/>
          <w:i/>
          <w:sz w:val="20"/>
          <w:szCs w:val="20"/>
        </w:rPr>
      </w:pPr>
      <w:r w:rsidRPr="00C77F4E">
        <w:rPr>
          <w:rFonts w:ascii="Helvetica" w:hAnsi="Helvetica" w:cs="Arial"/>
          <w:i/>
          <w:color w:val="000000"/>
          <w:sz w:val="20"/>
          <w:szCs w:val="20"/>
        </w:rPr>
        <w:t>A description of the program’s Studio Culture Policy including</w:t>
      </w:r>
    </w:p>
    <w:p w14:paraId="47B1831D" w14:textId="72EBE3B7" w:rsidR="001733FF" w:rsidRPr="00C77F4E" w:rsidRDefault="005055B0" w:rsidP="009F36C5">
      <w:pPr>
        <w:pStyle w:val="ListParagraph"/>
        <w:numPr>
          <w:ilvl w:val="1"/>
          <w:numId w:val="17"/>
        </w:numPr>
        <w:autoSpaceDE w:val="0"/>
        <w:autoSpaceDN w:val="0"/>
        <w:adjustRightInd w:val="0"/>
        <w:spacing w:after="120" w:line="240" w:lineRule="auto"/>
        <w:rPr>
          <w:rFonts w:ascii="Helvetica" w:hAnsi="Helvetica" w:cs="Arial"/>
          <w:i/>
          <w:iCs/>
          <w:sz w:val="20"/>
          <w:szCs w:val="20"/>
        </w:rPr>
      </w:pPr>
      <w:r w:rsidRPr="00C77F4E">
        <w:rPr>
          <w:rFonts w:ascii="Helvetica" w:hAnsi="Helvetica" w:cs="Arial"/>
          <w:i/>
          <w:color w:val="000000"/>
          <w:sz w:val="20"/>
          <w:szCs w:val="20"/>
        </w:rPr>
        <w:t xml:space="preserve">By what means and how frequently the policy is  distributed to </w:t>
      </w:r>
      <w:r w:rsidR="001733FF" w:rsidRPr="00C77F4E">
        <w:rPr>
          <w:rFonts w:ascii="Helvetica" w:hAnsi="Helvetica" w:cs="Arial"/>
          <w:i/>
          <w:iCs/>
          <w:sz w:val="20"/>
          <w:szCs w:val="20"/>
        </w:rPr>
        <w:t>faculty, students, and staff</w:t>
      </w:r>
    </w:p>
    <w:p w14:paraId="7FFFC998" w14:textId="77777777" w:rsidR="001733FF" w:rsidRPr="00C77F4E" w:rsidRDefault="001733FF" w:rsidP="009F36C5">
      <w:pPr>
        <w:pStyle w:val="ListParagraph"/>
        <w:numPr>
          <w:ilvl w:val="1"/>
          <w:numId w:val="17"/>
        </w:numPr>
        <w:autoSpaceDE w:val="0"/>
        <w:autoSpaceDN w:val="0"/>
        <w:adjustRightInd w:val="0"/>
        <w:spacing w:after="120" w:line="240" w:lineRule="auto"/>
        <w:rPr>
          <w:rFonts w:ascii="Helvetica" w:hAnsi="Helvetica" w:cs="Arial"/>
          <w:i/>
          <w:iCs/>
          <w:sz w:val="20"/>
          <w:szCs w:val="20"/>
        </w:rPr>
      </w:pPr>
      <w:r w:rsidRPr="00C77F4E">
        <w:rPr>
          <w:rFonts w:ascii="Helvetica" w:hAnsi="Helvetica" w:cs="Arial"/>
          <w:i/>
          <w:color w:val="000000"/>
          <w:sz w:val="20"/>
          <w:szCs w:val="20"/>
        </w:rPr>
        <w:t xml:space="preserve">An assessment of the level to which faculty, students, and staff </w:t>
      </w:r>
      <w:r w:rsidRPr="00C77F4E">
        <w:rPr>
          <w:rFonts w:ascii="Helvetica" w:hAnsi="Helvetica" w:cs="Arial"/>
          <w:i/>
          <w:iCs/>
          <w:sz w:val="20"/>
          <w:szCs w:val="20"/>
        </w:rPr>
        <w:t>understand the purposes for which the</w:t>
      </w:r>
      <w:r w:rsidR="00561032" w:rsidRPr="00C77F4E">
        <w:rPr>
          <w:rFonts w:ascii="Helvetica" w:hAnsi="Helvetica" w:cs="Arial"/>
          <w:i/>
          <w:iCs/>
          <w:sz w:val="20"/>
          <w:szCs w:val="20"/>
        </w:rPr>
        <w:t xml:space="preserve"> policy was</w:t>
      </w:r>
      <w:r w:rsidRPr="00C77F4E">
        <w:rPr>
          <w:rFonts w:ascii="Helvetica" w:hAnsi="Helvetica" w:cs="Arial"/>
          <w:i/>
          <w:iCs/>
          <w:sz w:val="20"/>
          <w:szCs w:val="20"/>
        </w:rPr>
        <w:t xml:space="preserve"> established</w:t>
      </w:r>
    </w:p>
    <w:p w14:paraId="12E5D929" w14:textId="77777777" w:rsidR="001733FF" w:rsidRPr="00C77F4E" w:rsidRDefault="001733FF" w:rsidP="009F36C5">
      <w:pPr>
        <w:numPr>
          <w:ilvl w:val="1"/>
          <w:numId w:val="17"/>
        </w:numPr>
        <w:spacing w:after="120" w:line="240" w:lineRule="auto"/>
        <w:rPr>
          <w:rFonts w:ascii="Helvetica" w:hAnsi="Helvetica" w:cs="Arial"/>
          <w:i/>
          <w:sz w:val="20"/>
          <w:szCs w:val="20"/>
        </w:rPr>
      </w:pPr>
      <w:r w:rsidRPr="00C77F4E">
        <w:rPr>
          <w:rFonts w:ascii="Helvetica" w:hAnsi="Helvetica" w:cs="Arial"/>
          <w:i/>
          <w:sz w:val="20"/>
          <w:szCs w:val="20"/>
        </w:rPr>
        <w:t>A description of the process by which the policy is evaluated and updated</w:t>
      </w:r>
      <w:r w:rsidR="00196B20" w:rsidRPr="00C77F4E">
        <w:rPr>
          <w:rFonts w:ascii="Helvetica" w:hAnsi="Helvetica" w:cs="Arial"/>
          <w:i/>
          <w:sz w:val="20"/>
          <w:szCs w:val="20"/>
        </w:rPr>
        <w:t>, including those involved and the frequency of the review.</w:t>
      </w:r>
    </w:p>
    <w:p w14:paraId="16C8C700" w14:textId="77777777" w:rsidR="001733FF" w:rsidRPr="00C77F4E" w:rsidRDefault="001733FF" w:rsidP="002F5349">
      <w:pPr>
        <w:pStyle w:val="Heading2"/>
        <w:spacing w:before="0" w:after="120" w:line="240" w:lineRule="auto"/>
        <w:rPr>
          <w:rFonts w:ascii="Helvetica" w:hAnsi="Helvetica" w:cs="Arial"/>
          <w:b w:val="0"/>
          <w:i w:val="0"/>
          <w:sz w:val="20"/>
          <w:szCs w:val="20"/>
        </w:rPr>
      </w:pPr>
      <w:bookmarkStart w:id="15" w:name="_Toc462758520"/>
      <w:r w:rsidRPr="00C77F4E">
        <w:rPr>
          <w:rFonts w:ascii="Helvetica" w:hAnsi="Helvetica" w:cs="Arial"/>
          <w:i w:val="0"/>
          <w:sz w:val="20"/>
          <w:szCs w:val="20"/>
        </w:rPr>
        <w:t>I.1.3 Social Equity</w:t>
      </w:r>
      <w:r w:rsidRPr="00C77F4E">
        <w:rPr>
          <w:rFonts w:ascii="Helvetica" w:hAnsi="Helvetica" w:cs="Arial"/>
          <w:b w:val="0"/>
          <w:i w:val="0"/>
          <w:sz w:val="20"/>
          <w:szCs w:val="20"/>
        </w:rPr>
        <w:t>:</w:t>
      </w:r>
      <w:bookmarkEnd w:id="13"/>
      <w:bookmarkEnd w:id="14"/>
      <w:bookmarkEnd w:id="15"/>
      <w:r w:rsidRPr="00C77F4E">
        <w:rPr>
          <w:rFonts w:ascii="Helvetica" w:hAnsi="Helvetica" w:cs="Arial"/>
          <w:b w:val="0"/>
          <w:i w:val="0"/>
          <w:sz w:val="20"/>
          <w:szCs w:val="20"/>
        </w:rPr>
        <w:t xml:space="preserve"> </w:t>
      </w:r>
    </w:p>
    <w:p w14:paraId="2F86FAF5" w14:textId="77777777" w:rsidR="001733FF" w:rsidRPr="00C77F4E" w:rsidRDefault="001733FF" w:rsidP="002F5349">
      <w:pPr>
        <w:autoSpaceDE w:val="0"/>
        <w:autoSpaceDN w:val="0"/>
        <w:adjustRightInd w:val="0"/>
        <w:spacing w:after="120" w:line="240" w:lineRule="auto"/>
        <w:rPr>
          <w:rFonts w:ascii="Helvetica" w:hAnsi="Helvetica" w:cs="Arial"/>
          <w:i/>
          <w:iCs/>
          <w:sz w:val="20"/>
          <w:szCs w:val="20"/>
        </w:rPr>
      </w:pPr>
      <w:r w:rsidRPr="00C77F4E">
        <w:rPr>
          <w:rFonts w:ascii="Helvetica" w:hAnsi="Helvetica" w:cs="Arial"/>
          <w:i/>
          <w:iCs/>
          <w:sz w:val="20"/>
          <w:szCs w:val="20"/>
        </w:rPr>
        <w:t>The APR must include the following</w:t>
      </w:r>
    </w:p>
    <w:p w14:paraId="68564611" w14:textId="77777777" w:rsidR="001733FF" w:rsidRPr="00C77F4E" w:rsidRDefault="001733FF" w:rsidP="009F36C5">
      <w:pPr>
        <w:pStyle w:val="ListParagraph"/>
        <w:numPr>
          <w:ilvl w:val="0"/>
          <w:numId w:val="17"/>
        </w:numPr>
        <w:autoSpaceDE w:val="0"/>
        <w:autoSpaceDN w:val="0"/>
        <w:adjustRightInd w:val="0"/>
        <w:spacing w:after="120" w:line="240" w:lineRule="auto"/>
        <w:rPr>
          <w:rFonts w:ascii="Helvetica" w:hAnsi="Helvetica" w:cs="Arial"/>
          <w:i/>
          <w:iCs/>
          <w:sz w:val="20"/>
          <w:szCs w:val="20"/>
        </w:rPr>
      </w:pPr>
      <w:r w:rsidRPr="00C77F4E">
        <w:rPr>
          <w:rFonts w:ascii="Helvetica" w:hAnsi="Helvetica" w:cs="Arial"/>
          <w:i/>
          <w:sz w:val="20"/>
          <w:szCs w:val="20"/>
        </w:rPr>
        <w:t xml:space="preserve">A description of institutional initiatives for diversity and inclusion and how the program is engaged in or benefits from these initiatives </w:t>
      </w:r>
    </w:p>
    <w:p w14:paraId="50CAFBCD" w14:textId="77777777" w:rsidR="001733FF" w:rsidRPr="00C77F4E" w:rsidRDefault="001733FF" w:rsidP="009F36C5">
      <w:pPr>
        <w:pStyle w:val="ListParagraph"/>
        <w:numPr>
          <w:ilvl w:val="0"/>
          <w:numId w:val="17"/>
        </w:numPr>
        <w:autoSpaceDE w:val="0"/>
        <w:autoSpaceDN w:val="0"/>
        <w:adjustRightInd w:val="0"/>
        <w:spacing w:after="120" w:line="240" w:lineRule="auto"/>
        <w:rPr>
          <w:rFonts w:ascii="Helvetica" w:hAnsi="Helvetica" w:cs="Arial"/>
          <w:i/>
          <w:iCs/>
          <w:sz w:val="20"/>
          <w:szCs w:val="20"/>
        </w:rPr>
      </w:pPr>
      <w:r w:rsidRPr="00C77F4E">
        <w:rPr>
          <w:rFonts w:ascii="Helvetica" w:hAnsi="Helvetica" w:cs="Arial"/>
          <w:i/>
          <w:iCs/>
          <w:sz w:val="20"/>
          <w:szCs w:val="20"/>
        </w:rPr>
        <w:t xml:space="preserve">A description of plans to maintain or increase the diversity of faculty, staff, and students when compared with the diversity of the institution. </w:t>
      </w:r>
    </w:p>
    <w:p w14:paraId="162ACA75" w14:textId="77777777" w:rsidR="001733FF" w:rsidRPr="00C77F4E" w:rsidRDefault="001733FF" w:rsidP="009F36C5">
      <w:pPr>
        <w:pStyle w:val="ListParagraph"/>
        <w:numPr>
          <w:ilvl w:val="0"/>
          <w:numId w:val="17"/>
        </w:numPr>
        <w:autoSpaceDE w:val="0"/>
        <w:autoSpaceDN w:val="0"/>
        <w:adjustRightInd w:val="0"/>
        <w:spacing w:after="120" w:line="240" w:lineRule="auto"/>
        <w:rPr>
          <w:rFonts w:ascii="Helvetica" w:hAnsi="Helvetica" w:cs="Arial"/>
          <w:i/>
          <w:iCs/>
          <w:sz w:val="20"/>
          <w:szCs w:val="20"/>
        </w:rPr>
      </w:pPr>
      <w:r w:rsidRPr="00C77F4E">
        <w:rPr>
          <w:rFonts w:ascii="Helvetica" w:hAnsi="Helvetica" w:cs="Arial"/>
          <w:i/>
          <w:iCs/>
          <w:sz w:val="20"/>
          <w:szCs w:val="20"/>
        </w:rPr>
        <w:t>A description of the process by which these plans are developed and the individuals involved in the process.</w:t>
      </w:r>
    </w:p>
    <w:p w14:paraId="02A59BF6" w14:textId="77777777" w:rsidR="001733FF" w:rsidRPr="00C77F4E" w:rsidRDefault="001733FF" w:rsidP="009F36C5">
      <w:pPr>
        <w:pStyle w:val="ListParagraph"/>
        <w:numPr>
          <w:ilvl w:val="0"/>
          <w:numId w:val="17"/>
        </w:numPr>
        <w:autoSpaceDE w:val="0"/>
        <w:autoSpaceDN w:val="0"/>
        <w:adjustRightInd w:val="0"/>
        <w:spacing w:after="120" w:line="240" w:lineRule="auto"/>
        <w:rPr>
          <w:rFonts w:ascii="Helvetica" w:hAnsi="Helvetica" w:cs="Arial"/>
          <w:i/>
          <w:iCs/>
          <w:sz w:val="20"/>
          <w:szCs w:val="20"/>
        </w:rPr>
      </w:pPr>
      <w:r w:rsidRPr="00C77F4E">
        <w:rPr>
          <w:rFonts w:ascii="Helvetica" w:hAnsi="Helvetica" w:cs="Arial"/>
          <w:i/>
          <w:iCs/>
          <w:sz w:val="20"/>
          <w:szCs w:val="20"/>
        </w:rPr>
        <w:t>A description of whether and how these initiatives are linked to the program’s self-assessment or long-range planning.</w:t>
      </w:r>
    </w:p>
    <w:p w14:paraId="265CDB59" w14:textId="77777777" w:rsidR="001733FF" w:rsidRPr="00C77F4E" w:rsidRDefault="001733FF" w:rsidP="002F5349">
      <w:pPr>
        <w:pStyle w:val="Heading2"/>
        <w:spacing w:before="0" w:after="120" w:line="240" w:lineRule="auto"/>
        <w:rPr>
          <w:rFonts w:ascii="Helvetica" w:hAnsi="Helvetica" w:cs="Arial"/>
          <w:i w:val="0"/>
          <w:sz w:val="20"/>
          <w:szCs w:val="20"/>
        </w:rPr>
      </w:pPr>
      <w:bookmarkStart w:id="16" w:name="_Toc358370818"/>
      <w:bookmarkStart w:id="17" w:name="_Toc232416581"/>
      <w:bookmarkStart w:id="18" w:name="_Toc462758521"/>
      <w:r w:rsidRPr="00C77F4E">
        <w:rPr>
          <w:rFonts w:ascii="Helvetica" w:hAnsi="Helvetica" w:cs="Arial"/>
          <w:i w:val="0"/>
          <w:sz w:val="20"/>
          <w:szCs w:val="20"/>
        </w:rPr>
        <w:t>I.1.4 Defining Perspectives</w:t>
      </w:r>
      <w:bookmarkEnd w:id="16"/>
      <w:bookmarkEnd w:id="17"/>
      <w:bookmarkEnd w:id="18"/>
    </w:p>
    <w:p w14:paraId="22D4CCF8" w14:textId="187E438A" w:rsidR="00343A36" w:rsidRPr="00C77F4E" w:rsidRDefault="00343A36" w:rsidP="00B35D28">
      <w:pPr>
        <w:spacing w:after="120" w:line="240" w:lineRule="auto"/>
        <w:rPr>
          <w:rFonts w:ascii="Helvetica" w:hAnsi="Helvetica"/>
          <w:b/>
        </w:rPr>
      </w:pPr>
      <w:r w:rsidRPr="00C77F4E">
        <w:rPr>
          <w:rFonts w:ascii="Helvetica" w:hAnsi="Helvetica" w:cs="Arial"/>
          <w:sz w:val="20"/>
          <w:szCs w:val="20"/>
        </w:rPr>
        <w:t>The perspectives offer programs the opportunity to define the means and methods most appropriate to their</w:t>
      </w:r>
      <w:r w:rsidR="005055B0" w:rsidRPr="00C77F4E">
        <w:rPr>
          <w:rFonts w:ascii="Helvetica" w:hAnsi="Helvetica" w:cs="Arial"/>
          <w:sz w:val="20"/>
          <w:szCs w:val="20"/>
        </w:rPr>
        <w:t xml:space="preserve"> mission, history, and</w:t>
      </w:r>
      <w:r w:rsidRPr="00C77F4E">
        <w:rPr>
          <w:rFonts w:ascii="Helvetica" w:hAnsi="Helvetica" w:cs="Arial"/>
          <w:sz w:val="20"/>
          <w:szCs w:val="20"/>
        </w:rPr>
        <w:t xml:space="preserve"> pedagogy to prepare students with a set of core values that are essential and fundamental to</w:t>
      </w:r>
      <w:r w:rsidR="00552CEF" w:rsidRPr="00C77F4E">
        <w:rPr>
          <w:rFonts w:ascii="Helvetica" w:hAnsi="Helvetica" w:cs="Arial"/>
          <w:sz w:val="20"/>
          <w:szCs w:val="20"/>
        </w:rPr>
        <w:t xml:space="preserve"> the practice of architecture. </w:t>
      </w:r>
      <w:r w:rsidRPr="00C77F4E">
        <w:rPr>
          <w:rFonts w:ascii="Helvetica" w:hAnsi="Helvetica" w:cs="Arial"/>
          <w:sz w:val="20"/>
          <w:szCs w:val="20"/>
        </w:rPr>
        <w:t>These values are held as perspectives instead of SPC, as they must transcend any</w:t>
      </w:r>
      <w:r w:rsidR="00F14E58" w:rsidRPr="00C77F4E">
        <w:rPr>
          <w:rFonts w:ascii="Helvetica" w:hAnsi="Helvetica" w:cs="Arial"/>
          <w:sz w:val="20"/>
          <w:szCs w:val="20"/>
        </w:rPr>
        <w:t xml:space="preserve"> </w:t>
      </w:r>
      <w:r w:rsidRPr="00C77F4E">
        <w:rPr>
          <w:rFonts w:ascii="Helvetica" w:hAnsi="Helvetica" w:cs="Arial"/>
          <w:sz w:val="20"/>
          <w:szCs w:val="20"/>
        </w:rPr>
        <w:t xml:space="preserve">one </w:t>
      </w:r>
      <w:r w:rsidR="005055B0" w:rsidRPr="00C77F4E">
        <w:rPr>
          <w:rFonts w:ascii="Helvetica" w:hAnsi="Helvetica" w:cs="Arial"/>
          <w:sz w:val="20"/>
          <w:szCs w:val="20"/>
        </w:rPr>
        <w:t>course</w:t>
      </w:r>
      <w:r w:rsidRPr="00C77F4E">
        <w:rPr>
          <w:rFonts w:ascii="Helvetica" w:hAnsi="Helvetica" w:cs="Arial"/>
          <w:sz w:val="20"/>
          <w:szCs w:val="20"/>
        </w:rPr>
        <w:t xml:space="preserve"> and must be over-arching across the program</w:t>
      </w:r>
      <w:r w:rsidRPr="00C77F4E">
        <w:rPr>
          <w:rFonts w:ascii="Helvetica" w:hAnsi="Helvetica"/>
        </w:rPr>
        <w:t xml:space="preserve">. </w:t>
      </w:r>
    </w:p>
    <w:p w14:paraId="5357BAE7" w14:textId="77777777" w:rsidR="002D5533" w:rsidRPr="00C77F4E" w:rsidRDefault="00196B20" w:rsidP="002F5349">
      <w:pPr>
        <w:spacing w:after="120" w:line="240" w:lineRule="auto"/>
        <w:rPr>
          <w:rFonts w:ascii="Helvetica" w:hAnsi="Helvetica" w:cs="Arial"/>
          <w:i/>
          <w:color w:val="1F497D" w:themeColor="text2"/>
          <w:sz w:val="20"/>
          <w:szCs w:val="20"/>
        </w:rPr>
      </w:pPr>
      <w:r w:rsidRPr="00C77F4E">
        <w:rPr>
          <w:rFonts w:ascii="Helvetica" w:hAnsi="Helvetica" w:cs="Arial"/>
          <w:i/>
          <w:color w:val="1F497D" w:themeColor="text2"/>
          <w:sz w:val="20"/>
          <w:szCs w:val="20"/>
        </w:rPr>
        <w:t>Notes on the Perspectives</w:t>
      </w:r>
    </w:p>
    <w:p w14:paraId="67AA0B07" w14:textId="5E64D251" w:rsidR="00BE6D3E" w:rsidRPr="00C77F4E" w:rsidRDefault="002D5533" w:rsidP="009F36C5">
      <w:pPr>
        <w:pStyle w:val="ListParagraph"/>
        <w:numPr>
          <w:ilvl w:val="0"/>
          <w:numId w:val="35"/>
        </w:numPr>
        <w:spacing w:after="120" w:line="240" w:lineRule="auto"/>
        <w:rPr>
          <w:rFonts w:ascii="Helvetica" w:hAnsi="Helvetica" w:cs="Arial"/>
          <w:i/>
          <w:color w:val="1F497D" w:themeColor="text2"/>
          <w:sz w:val="20"/>
          <w:szCs w:val="20"/>
        </w:rPr>
      </w:pPr>
      <w:r w:rsidRPr="00C77F4E">
        <w:rPr>
          <w:rFonts w:ascii="Helvetica" w:hAnsi="Helvetica" w:cs="Arial"/>
          <w:i/>
          <w:color w:val="1F497D" w:themeColor="text2"/>
          <w:sz w:val="20"/>
          <w:szCs w:val="20"/>
        </w:rPr>
        <w:t>Collaboration and Leadership:</w:t>
      </w:r>
      <w:r w:rsidRPr="00C77F4E">
        <w:rPr>
          <w:rFonts w:ascii="Helvetica" w:hAnsi="Helvetica" w:cs="Arial"/>
          <w:color w:val="1F497D" w:themeColor="text2"/>
          <w:sz w:val="20"/>
          <w:szCs w:val="20"/>
        </w:rPr>
        <w:t xml:space="preserve"> </w:t>
      </w:r>
      <w:r w:rsidR="00561032" w:rsidRPr="00C77F4E">
        <w:rPr>
          <w:rFonts w:ascii="Helvetica" w:hAnsi="Helvetica" w:cs="Arial"/>
          <w:color w:val="1F497D" w:themeColor="text2"/>
          <w:sz w:val="20"/>
          <w:szCs w:val="20"/>
        </w:rPr>
        <w:t>The program should address this perspective by describing how student</w:t>
      </w:r>
      <w:r w:rsidR="005C398C" w:rsidRPr="00C77F4E">
        <w:rPr>
          <w:rFonts w:ascii="Helvetica" w:hAnsi="Helvetica" w:cs="Arial"/>
          <w:color w:val="1F497D" w:themeColor="text2"/>
          <w:sz w:val="20"/>
          <w:szCs w:val="20"/>
        </w:rPr>
        <w:t>s</w:t>
      </w:r>
      <w:r w:rsidR="00561032" w:rsidRPr="00C77F4E">
        <w:rPr>
          <w:rFonts w:ascii="Helvetica" w:hAnsi="Helvetica" w:cs="Arial"/>
          <w:color w:val="1F497D" w:themeColor="text2"/>
          <w:sz w:val="20"/>
          <w:szCs w:val="20"/>
        </w:rPr>
        <w:t xml:space="preserve"> develop the </w:t>
      </w:r>
      <w:r w:rsidRPr="00C77F4E">
        <w:rPr>
          <w:rFonts w:ascii="Helvetica" w:hAnsi="Helvetica" w:cs="Arial"/>
          <w:color w:val="1F497D" w:themeColor="text2"/>
          <w:sz w:val="20"/>
          <w:szCs w:val="20"/>
        </w:rPr>
        <w:t xml:space="preserve">interpersonal skills </w:t>
      </w:r>
      <w:r w:rsidR="005055B0" w:rsidRPr="00C77F4E">
        <w:rPr>
          <w:rFonts w:ascii="Helvetica" w:hAnsi="Helvetica" w:cs="Arial"/>
          <w:color w:val="1F497D" w:themeColor="text2"/>
          <w:sz w:val="20"/>
          <w:szCs w:val="20"/>
        </w:rPr>
        <w:t xml:space="preserve">for </w:t>
      </w:r>
      <w:r w:rsidRPr="00C77F4E">
        <w:rPr>
          <w:rFonts w:ascii="Helvetica" w:hAnsi="Helvetica" w:cs="Arial"/>
          <w:color w:val="1F497D" w:themeColor="text2"/>
          <w:sz w:val="20"/>
          <w:szCs w:val="20"/>
        </w:rPr>
        <w:t xml:space="preserve"> foster</w:t>
      </w:r>
      <w:r w:rsidR="005055B0" w:rsidRPr="00C77F4E">
        <w:rPr>
          <w:rFonts w:ascii="Helvetica" w:hAnsi="Helvetica" w:cs="Arial"/>
          <w:color w:val="1F497D" w:themeColor="text2"/>
          <w:sz w:val="20"/>
          <w:szCs w:val="20"/>
        </w:rPr>
        <w:t>ing</w:t>
      </w:r>
      <w:r w:rsidRPr="00C77F4E">
        <w:rPr>
          <w:rFonts w:ascii="Helvetica" w:hAnsi="Helvetica" w:cs="Arial"/>
          <w:color w:val="1F497D" w:themeColor="text2"/>
          <w:sz w:val="20"/>
          <w:szCs w:val="20"/>
        </w:rPr>
        <w:t xml:space="preserve"> team unity, co</w:t>
      </w:r>
      <w:r w:rsidR="00561032" w:rsidRPr="00C77F4E">
        <w:rPr>
          <w:rFonts w:ascii="Helvetica" w:hAnsi="Helvetica" w:cs="Arial"/>
          <w:color w:val="1F497D" w:themeColor="text2"/>
          <w:sz w:val="20"/>
          <w:szCs w:val="20"/>
        </w:rPr>
        <w:t>mmunication and decision-making</w:t>
      </w:r>
      <w:r w:rsidRPr="00C77F4E">
        <w:rPr>
          <w:rFonts w:ascii="Helvetica" w:hAnsi="Helvetica" w:cs="Arial"/>
          <w:color w:val="1F497D" w:themeColor="text2"/>
          <w:sz w:val="20"/>
          <w:szCs w:val="20"/>
        </w:rPr>
        <w:t>, conflict resolution, cultural awareness and empathy, and the motivating purposes to effectively achieve commonly held goals</w:t>
      </w:r>
      <w:r w:rsidR="00343A36" w:rsidRPr="00C77F4E">
        <w:rPr>
          <w:rFonts w:ascii="Helvetica" w:hAnsi="Helvetica" w:cs="Arial"/>
          <w:color w:val="1F497D" w:themeColor="text2"/>
          <w:sz w:val="20"/>
          <w:szCs w:val="20"/>
        </w:rPr>
        <w:t>, and where those skills are being taught/demonstrated</w:t>
      </w:r>
      <w:r w:rsidRPr="00C77F4E">
        <w:rPr>
          <w:rFonts w:ascii="Helvetica" w:hAnsi="Helvetica" w:cs="Arial"/>
          <w:color w:val="1F497D" w:themeColor="text2"/>
          <w:sz w:val="20"/>
          <w:szCs w:val="20"/>
        </w:rPr>
        <w:t>. Graduates should be prepared to function in a diverse world of practice with the ability to adapt to complex team situations and effectively address a climate of shifting priorities.</w:t>
      </w:r>
      <w:r w:rsidR="009C7C91" w:rsidRPr="00C77F4E">
        <w:rPr>
          <w:rFonts w:ascii="Helvetica" w:hAnsi="Helvetica" w:cs="Arial"/>
          <w:color w:val="1F497D" w:themeColor="text2"/>
          <w:sz w:val="20"/>
          <w:szCs w:val="20"/>
        </w:rPr>
        <w:t xml:space="preserve"> This perspective also includes how a program prepares emerging professionals to serve clients and the public, engage allied disciplines and professional colleagues, and rely on a spectrum of collaborative skills to work successfully across diverse groups and stakeholders.</w:t>
      </w:r>
      <w:r w:rsidR="00343A36" w:rsidRPr="00C77F4E">
        <w:rPr>
          <w:rFonts w:ascii="Helvetica" w:hAnsi="Helvetica" w:cs="Arial"/>
          <w:color w:val="1F497D" w:themeColor="text2"/>
          <w:sz w:val="20"/>
          <w:szCs w:val="20"/>
        </w:rPr>
        <w:t xml:space="preserve">  This condition can be satisfied by demonstrating how students lead and collaborate across multiple opportunities ranging from structured coursework opportunities to program activities and events and external programs and events. </w:t>
      </w:r>
    </w:p>
    <w:p w14:paraId="017606F4" w14:textId="37F5A480" w:rsidR="002D5533" w:rsidRPr="00C77F4E" w:rsidRDefault="002D5533" w:rsidP="009F36C5">
      <w:pPr>
        <w:pStyle w:val="ListParagraph"/>
        <w:numPr>
          <w:ilvl w:val="0"/>
          <w:numId w:val="35"/>
        </w:numPr>
        <w:spacing w:after="120" w:line="240" w:lineRule="auto"/>
        <w:rPr>
          <w:rFonts w:ascii="Helvetica" w:hAnsi="Helvetica" w:cs="Arial"/>
          <w:i/>
          <w:color w:val="1F497D" w:themeColor="text2"/>
          <w:sz w:val="20"/>
          <w:szCs w:val="20"/>
        </w:rPr>
      </w:pPr>
      <w:r w:rsidRPr="00C77F4E">
        <w:rPr>
          <w:rFonts w:ascii="Helvetica" w:hAnsi="Helvetica" w:cs="Arial"/>
          <w:i/>
          <w:color w:val="1F497D" w:themeColor="text2"/>
          <w:sz w:val="20"/>
          <w:szCs w:val="20"/>
        </w:rPr>
        <w:t>Design:</w:t>
      </w:r>
      <w:r w:rsidRPr="00C77F4E">
        <w:rPr>
          <w:rFonts w:ascii="Helvetica" w:hAnsi="Helvetica" w:cs="Arial"/>
          <w:color w:val="1F497D" w:themeColor="text2"/>
          <w:sz w:val="20"/>
          <w:szCs w:val="20"/>
        </w:rPr>
        <w:t xml:space="preserve"> </w:t>
      </w:r>
      <w:r w:rsidR="00561032" w:rsidRPr="00C77F4E">
        <w:rPr>
          <w:rFonts w:ascii="Helvetica" w:hAnsi="Helvetica" w:cs="Arial"/>
          <w:color w:val="1F497D" w:themeColor="text2"/>
          <w:sz w:val="20"/>
          <w:szCs w:val="20"/>
        </w:rPr>
        <w:t xml:space="preserve">Programs should describe how graduates are prepared to engage in design activity as a multi-stage process aimed to address increasingly complex problems, and provide value and an improved future. This includes how students learn </w:t>
      </w:r>
      <w:r w:rsidRPr="00C77F4E">
        <w:rPr>
          <w:rFonts w:ascii="Helvetica" w:hAnsi="Helvetica" w:cs="Arial"/>
          <w:color w:val="1F497D" w:themeColor="text2"/>
          <w:sz w:val="20"/>
          <w:szCs w:val="20"/>
        </w:rPr>
        <w:t>the combinations of methods, skills and c</w:t>
      </w:r>
      <w:r w:rsidR="00561032" w:rsidRPr="00C77F4E">
        <w:rPr>
          <w:rFonts w:ascii="Helvetica" w:hAnsi="Helvetica" w:cs="Arial"/>
          <w:color w:val="1F497D" w:themeColor="text2"/>
          <w:sz w:val="20"/>
          <w:szCs w:val="20"/>
        </w:rPr>
        <w:t>ognitive processes, as well as</w:t>
      </w:r>
      <w:r w:rsidRPr="00C77F4E">
        <w:rPr>
          <w:rFonts w:ascii="Helvetica" w:hAnsi="Helvetica" w:cs="Arial"/>
          <w:color w:val="1F497D" w:themeColor="text2"/>
          <w:sz w:val="20"/>
          <w:szCs w:val="20"/>
        </w:rPr>
        <w:t xml:space="preserve"> identifying and framing problems from a complex milieu; generative and evaluative strategies; cycles of conjecture, implementation and evaluation; methods of research, technical expertise, skillful action and judgment.</w:t>
      </w:r>
    </w:p>
    <w:p w14:paraId="27F57856" w14:textId="5CE5611D" w:rsidR="002D5533" w:rsidRPr="00C77F4E" w:rsidRDefault="002D5533" w:rsidP="009F36C5">
      <w:pPr>
        <w:pStyle w:val="ListParagraph"/>
        <w:numPr>
          <w:ilvl w:val="0"/>
          <w:numId w:val="35"/>
        </w:numPr>
        <w:spacing w:after="120" w:line="240" w:lineRule="auto"/>
        <w:rPr>
          <w:rFonts w:ascii="Helvetica" w:hAnsi="Helvetica" w:cs="Arial"/>
          <w:i/>
          <w:color w:val="1F497D" w:themeColor="text2"/>
          <w:sz w:val="20"/>
          <w:szCs w:val="20"/>
        </w:rPr>
      </w:pPr>
      <w:r w:rsidRPr="00C77F4E">
        <w:rPr>
          <w:rFonts w:ascii="Helvetica" w:hAnsi="Helvetica" w:cs="Arial"/>
          <w:i/>
          <w:color w:val="1F497D" w:themeColor="text2"/>
          <w:sz w:val="20"/>
          <w:szCs w:val="20"/>
        </w:rPr>
        <w:t>Professional Opportunity:</w:t>
      </w:r>
      <w:r w:rsidRPr="00C77F4E">
        <w:rPr>
          <w:rFonts w:ascii="Helvetica" w:hAnsi="Helvetica" w:cs="Arial"/>
          <w:color w:val="1F497D" w:themeColor="text2"/>
          <w:sz w:val="20"/>
          <w:szCs w:val="20"/>
        </w:rPr>
        <w:t xml:space="preserve"> As programs reflect their approach to preparing students for traditional settings </w:t>
      </w:r>
      <w:r w:rsidR="00561032" w:rsidRPr="00C77F4E">
        <w:rPr>
          <w:rFonts w:ascii="Helvetica" w:hAnsi="Helvetica" w:cs="Arial"/>
          <w:color w:val="1F497D" w:themeColor="text2"/>
          <w:sz w:val="20"/>
          <w:szCs w:val="20"/>
        </w:rPr>
        <w:t xml:space="preserve">responding to this perspective </w:t>
      </w:r>
      <w:r w:rsidRPr="00C77F4E">
        <w:rPr>
          <w:rFonts w:ascii="Helvetica" w:hAnsi="Helvetica" w:cs="Arial"/>
          <w:color w:val="1F497D" w:themeColor="text2"/>
          <w:sz w:val="20"/>
          <w:szCs w:val="20"/>
        </w:rPr>
        <w:t>includes how students are prepared for the transition to internship and licensure; with an understanding of the requirements for registration in the jurisdiction in which the program is located; and with the information needed to enroll in the Intern Development Program (IDP). For programs with students preparing for other-than-traditional settings this</w:t>
      </w:r>
      <w:r w:rsidR="00343A36" w:rsidRPr="00C77F4E">
        <w:rPr>
          <w:rFonts w:ascii="Helvetica" w:hAnsi="Helvetica" w:cs="Arial"/>
          <w:color w:val="1F497D" w:themeColor="text2"/>
          <w:sz w:val="20"/>
          <w:szCs w:val="20"/>
        </w:rPr>
        <w:t xml:space="preserve"> should</w:t>
      </w:r>
      <w:r w:rsidRPr="00C77F4E">
        <w:rPr>
          <w:rFonts w:ascii="Helvetica" w:hAnsi="Helvetica" w:cs="Arial"/>
          <w:color w:val="1F497D" w:themeColor="text2"/>
          <w:sz w:val="20"/>
          <w:szCs w:val="20"/>
        </w:rPr>
        <w:t xml:space="preserve"> include how programs develop students’ understanding of alternative roles for architects in the building industry (e.g., developer, owners’ representative, program manager, or civic leader), as well as roles in numerous other disciplines where architectural expertise is highly valued.</w:t>
      </w:r>
    </w:p>
    <w:p w14:paraId="0F164FD7" w14:textId="32657BE2" w:rsidR="002D5533" w:rsidRPr="00C77F4E" w:rsidRDefault="002D5533" w:rsidP="009F36C5">
      <w:pPr>
        <w:pStyle w:val="ListParagraph"/>
        <w:numPr>
          <w:ilvl w:val="0"/>
          <w:numId w:val="35"/>
        </w:numPr>
        <w:tabs>
          <w:tab w:val="left" w:pos="-1080"/>
          <w:tab w:val="left" w:pos="-720"/>
          <w:tab w:val="left" w:pos="0"/>
          <w:tab w:val="left" w:pos="450"/>
          <w:tab w:val="left" w:pos="900"/>
          <w:tab w:val="left" w:pos="1170"/>
          <w:tab w:val="left" w:pos="1530"/>
          <w:tab w:val="left" w:pos="3060"/>
          <w:tab w:val="left" w:pos="4320"/>
        </w:tabs>
        <w:spacing w:after="120" w:line="240" w:lineRule="auto"/>
        <w:rPr>
          <w:rFonts w:ascii="Helvetica" w:hAnsi="Helvetica" w:cs="Arial"/>
          <w:color w:val="1F497D" w:themeColor="text2"/>
          <w:sz w:val="20"/>
          <w:szCs w:val="20"/>
        </w:rPr>
      </w:pPr>
      <w:r w:rsidRPr="00C77F4E">
        <w:rPr>
          <w:rFonts w:ascii="Helvetica" w:hAnsi="Helvetica" w:cs="Arial"/>
          <w:i/>
          <w:color w:val="1F497D" w:themeColor="text2"/>
          <w:sz w:val="20"/>
          <w:szCs w:val="20"/>
        </w:rPr>
        <w:t>Stewardship of the Environment:</w:t>
      </w:r>
      <w:r w:rsidRPr="00C77F4E">
        <w:rPr>
          <w:rFonts w:ascii="Helvetica" w:hAnsi="Helvetica" w:cs="Arial"/>
          <w:color w:val="1F497D" w:themeColor="text2"/>
          <w:sz w:val="20"/>
          <w:szCs w:val="20"/>
        </w:rPr>
        <w:t xml:space="preserve"> This includes </w:t>
      </w:r>
      <w:r w:rsidR="002E22DE" w:rsidRPr="00C77F4E">
        <w:rPr>
          <w:rFonts w:ascii="Helvetica" w:hAnsi="Helvetica" w:cs="Arial"/>
          <w:color w:val="1F497D" w:themeColor="text2"/>
          <w:sz w:val="20"/>
          <w:szCs w:val="20"/>
        </w:rPr>
        <w:t xml:space="preserve">teaching </w:t>
      </w:r>
      <w:r w:rsidRPr="00C77F4E">
        <w:rPr>
          <w:rFonts w:ascii="Helvetica" w:hAnsi="Helvetica" w:cs="Arial"/>
          <w:color w:val="1F497D" w:themeColor="text2"/>
          <w:sz w:val="20"/>
          <w:szCs w:val="20"/>
        </w:rPr>
        <w:t xml:space="preserve">design practices that seek to minimize negative environmental impact and to connect people with the natural environment. The program’s approach may also </w:t>
      </w:r>
      <w:r w:rsidR="002E22DE" w:rsidRPr="00C77F4E">
        <w:rPr>
          <w:rFonts w:ascii="Helvetica" w:hAnsi="Helvetica" w:cs="Arial"/>
          <w:color w:val="1F497D" w:themeColor="text2"/>
          <w:sz w:val="20"/>
          <w:szCs w:val="20"/>
        </w:rPr>
        <w:t xml:space="preserve">include </w:t>
      </w:r>
      <w:r w:rsidRPr="00C77F4E">
        <w:rPr>
          <w:rFonts w:ascii="Helvetica" w:hAnsi="Helvetica" w:cs="Arial"/>
          <w:color w:val="1F497D" w:themeColor="text2"/>
          <w:sz w:val="20"/>
          <w:szCs w:val="20"/>
        </w:rPr>
        <w:t>individual courses that develop a</w:t>
      </w:r>
      <w:r w:rsidR="002E22DE" w:rsidRPr="00C77F4E">
        <w:rPr>
          <w:rFonts w:ascii="Helvetica" w:hAnsi="Helvetica" w:cs="Arial"/>
          <w:color w:val="1F497D" w:themeColor="text2"/>
          <w:sz w:val="20"/>
          <w:szCs w:val="20"/>
        </w:rPr>
        <w:t xml:space="preserve"> student’s</w:t>
      </w:r>
      <w:r w:rsidRPr="00C77F4E">
        <w:rPr>
          <w:rFonts w:ascii="Helvetica" w:hAnsi="Helvetica" w:cs="Arial"/>
          <w:color w:val="1F497D" w:themeColor="text2"/>
          <w:sz w:val="20"/>
          <w:szCs w:val="20"/>
        </w:rPr>
        <w:t xml:space="preserve"> understanding of climate, geography and other natural characteristics and phenomena</w:t>
      </w:r>
      <w:r w:rsidR="00C23F60" w:rsidRPr="00C77F4E">
        <w:rPr>
          <w:rFonts w:ascii="Helvetica" w:hAnsi="Helvetica" w:cs="Arial"/>
          <w:color w:val="1F497D" w:themeColor="text2"/>
          <w:sz w:val="20"/>
          <w:szCs w:val="20"/>
        </w:rPr>
        <w:t>.</w:t>
      </w:r>
      <w:r w:rsidRPr="00C77F4E">
        <w:rPr>
          <w:rFonts w:ascii="Helvetica" w:hAnsi="Helvetica" w:cs="Arial"/>
          <w:color w:val="1F497D" w:themeColor="text2"/>
          <w:sz w:val="20"/>
          <w:szCs w:val="20"/>
        </w:rPr>
        <w:t xml:space="preserve"> </w:t>
      </w:r>
      <w:r w:rsidR="00C23F60" w:rsidRPr="00C77F4E">
        <w:rPr>
          <w:rFonts w:ascii="Helvetica" w:hAnsi="Helvetica" w:cs="Arial"/>
          <w:color w:val="1F497D" w:themeColor="text2"/>
          <w:sz w:val="20"/>
          <w:szCs w:val="20"/>
        </w:rPr>
        <w:t xml:space="preserve">Further, </w:t>
      </w:r>
      <w:r w:rsidR="002E22DE" w:rsidRPr="00C77F4E">
        <w:rPr>
          <w:rFonts w:ascii="Helvetica" w:hAnsi="Helvetica" w:cs="Arial"/>
          <w:color w:val="1F497D" w:themeColor="text2"/>
          <w:sz w:val="20"/>
          <w:szCs w:val="20"/>
        </w:rPr>
        <w:t xml:space="preserve">these courses </w:t>
      </w:r>
      <w:r w:rsidR="00C23F60" w:rsidRPr="00C77F4E">
        <w:rPr>
          <w:rFonts w:ascii="Helvetica" w:hAnsi="Helvetica" w:cs="Arial"/>
          <w:color w:val="1F497D" w:themeColor="text2"/>
          <w:sz w:val="20"/>
          <w:szCs w:val="20"/>
        </w:rPr>
        <w:t xml:space="preserve">may </w:t>
      </w:r>
      <w:r w:rsidRPr="00C77F4E">
        <w:rPr>
          <w:rFonts w:ascii="Helvetica" w:hAnsi="Helvetica" w:cs="Arial"/>
          <w:color w:val="1F497D" w:themeColor="text2"/>
          <w:sz w:val="20"/>
          <w:szCs w:val="20"/>
        </w:rPr>
        <w:t xml:space="preserve">also </w:t>
      </w:r>
      <w:r w:rsidR="002E22DE" w:rsidRPr="00C77F4E">
        <w:rPr>
          <w:rFonts w:ascii="Helvetica" w:hAnsi="Helvetica" w:cs="Arial"/>
          <w:color w:val="1F497D" w:themeColor="text2"/>
          <w:sz w:val="20"/>
          <w:szCs w:val="20"/>
        </w:rPr>
        <w:t xml:space="preserve">include content on </w:t>
      </w:r>
      <w:r w:rsidRPr="00C77F4E">
        <w:rPr>
          <w:rFonts w:ascii="Helvetica" w:hAnsi="Helvetica" w:cs="Arial"/>
          <w:color w:val="1F497D" w:themeColor="text2"/>
          <w:sz w:val="20"/>
          <w:szCs w:val="20"/>
        </w:rPr>
        <w:t xml:space="preserve">the laws and practices governing architects and the built environment as well as the ethos of sustainable practices. </w:t>
      </w:r>
      <w:r w:rsidR="002E22DE" w:rsidRPr="00C77F4E">
        <w:rPr>
          <w:rFonts w:ascii="Helvetica" w:hAnsi="Helvetica" w:cs="Arial"/>
          <w:color w:val="1F497D" w:themeColor="text2"/>
          <w:sz w:val="20"/>
          <w:szCs w:val="20"/>
        </w:rPr>
        <w:t xml:space="preserve">Finally, the program’s approach may also include </w:t>
      </w:r>
      <w:r w:rsidRPr="00C77F4E">
        <w:rPr>
          <w:rFonts w:ascii="Helvetica" w:hAnsi="Helvetica" w:cs="Arial"/>
          <w:color w:val="1F497D" w:themeColor="text2"/>
          <w:sz w:val="20"/>
          <w:szCs w:val="20"/>
        </w:rPr>
        <w:t xml:space="preserve">opportunities </w:t>
      </w:r>
      <w:r w:rsidR="002E22DE" w:rsidRPr="00C77F4E">
        <w:rPr>
          <w:rFonts w:ascii="Helvetica" w:hAnsi="Helvetica" w:cs="Arial"/>
          <w:color w:val="1F497D" w:themeColor="text2"/>
          <w:sz w:val="20"/>
          <w:szCs w:val="20"/>
        </w:rPr>
        <w:t xml:space="preserve">for students </w:t>
      </w:r>
      <w:r w:rsidRPr="00C77F4E">
        <w:rPr>
          <w:rFonts w:ascii="Helvetica" w:hAnsi="Helvetica" w:cs="Arial"/>
          <w:color w:val="1F497D" w:themeColor="text2"/>
          <w:sz w:val="20"/>
          <w:szCs w:val="20"/>
        </w:rPr>
        <w:t xml:space="preserve">to engage in political advocacy </w:t>
      </w:r>
      <w:r w:rsidR="002E22DE" w:rsidRPr="00C77F4E">
        <w:rPr>
          <w:rFonts w:ascii="Helvetica" w:hAnsi="Helvetica" w:cs="Arial"/>
          <w:color w:val="1F497D" w:themeColor="text2"/>
          <w:sz w:val="20"/>
          <w:szCs w:val="20"/>
        </w:rPr>
        <w:t xml:space="preserve">on </w:t>
      </w:r>
      <w:r w:rsidRPr="00C77F4E">
        <w:rPr>
          <w:rFonts w:ascii="Helvetica" w:hAnsi="Helvetica" w:cs="Arial"/>
          <w:color w:val="1F497D" w:themeColor="text2"/>
          <w:sz w:val="20"/>
          <w:szCs w:val="20"/>
        </w:rPr>
        <w:t xml:space="preserve">environmental issues; </w:t>
      </w:r>
      <w:r w:rsidR="00C23F60" w:rsidRPr="00C77F4E">
        <w:rPr>
          <w:rFonts w:ascii="Helvetica" w:hAnsi="Helvetica" w:cs="Arial"/>
          <w:color w:val="1F497D" w:themeColor="text2"/>
          <w:sz w:val="20"/>
          <w:szCs w:val="20"/>
        </w:rPr>
        <w:t xml:space="preserve">involvement in </w:t>
      </w:r>
      <w:r w:rsidRPr="00C77F4E">
        <w:rPr>
          <w:rFonts w:ascii="Helvetica" w:hAnsi="Helvetica" w:cs="Arial"/>
          <w:color w:val="1F497D" w:themeColor="text2"/>
          <w:sz w:val="20"/>
          <w:szCs w:val="20"/>
        </w:rPr>
        <w:t xml:space="preserve">organizations for a sustainable future; </w:t>
      </w:r>
      <w:r w:rsidR="002E22DE" w:rsidRPr="00C77F4E">
        <w:rPr>
          <w:rFonts w:ascii="Helvetica" w:hAnsi="Helvetica" w:cs="Arial"/>
          <w:color w:val="1F497D" w:themeColor="text2"/>
          <w:sz w:val="20"/>
          <w:szCs w:val="20"/>
        </w:rPr>
        <w:t xml:space="preserve">or </w:t>
      </w:r>
      <w:r w:rsidRPr="00C77F4E">
        <w:rPr>
          <w:rFonts w:ascii="Helvetica" w:hAnsi="Helvetica" w:cs="Arial"/>
          <w:color w:val="1F497D" w:themeColor="text2"/>
          <w:sz w:val="20"/>
          <w:szCs w:val="20"/>
        </w:rPr>
        <w:t>participation and leadership in university initiatives supporting environmental awareness and sustainability.</w:t>
      </w:r>
    </w:p>
    <w:p w14:paraId="6601ACDA" w14:textId="583B8AB2" w:rsidR="002D5533" w:rsidRPr="00C77F4E" w:rsidRDefault="002D5533" w:rsidP="009F36C5">
      <w:pPr>
        <w:pStyle w:val="ListParagraph"/>
        <w:numPr>
          <w:ilvl w:val="0"/>
          <w:numId w:val="35"/>
        </w:numPr>
        <w:tabs>
          <w:tab w:val="left" w:pos="-1080"/>
          <w:tab w:val="left" w:pos="-720"/>
          <w:tab w:val="left" w:pos="0"/>
          <w:tab w:val="left" w:pos="450"/>
          <w:tab w:val="left" w:pos="900"/>
          <w:tab w:val="left" w:pos="1170"/>
          <w:tab w:val="left" w:pos="1530"/>
          <w:tab w:val="left" w:pos="3060"/>
          <w:tab w:val="left" w:pos="4320"/>
        </w:tabs>
        <w:spacing w:after="120" w:line="240" w:lineRule="auto"/>
        <w:rPr>
          <w:rFonts w:ascii="Helvetica" w:hAnsi="Helvetica" w:cs="Arial"/>
          <w:sz w:val="20"/>
          <w:szCs w:val="20"/>
        </w:rPr>
      </w:pPr>
      <w:r w:rsidRPr="00C77F4E">
        <w:rPr>
          <w:rFonts w:ascii="Helvetica" w:hAnsi="Helvetica" w:cs="Arial"/>
          <w:i/>
          <w:color w:val="1F497D" w:themeColor="text2"/>
          <w:sz w:val="20"/>
          <w:szCs w:val="20"/>
        </w:rPr>
        <w:t>Community and Social Responsibility.</w:t>
      </w:r>
      <w:r w:rsidR="009C7C91" w:rsidRPr="00C77F4E">
        <w:rPr>
          <w:rFonts w:ascii="Helvetica" w:hAnsi="Helvetica" w:cs="Arial"/>
          <w:color w:val="1F497D" w:themeColor="text2"/>
          <w:sz w:val="20"/>
          <w:szCs w:val="20"/>
        </w:rPr>
        <w:t xml:space="preserve"> The social responsibility of architects lies in part in the belief that architects can create better places, and further that architectural design can create a civilized place by making communities more livable. A program’s response to social responsibility must include nurturing a calling to civic engagement to positively influence the development, conservation or changes to the built and natural environment</w:t>
      </w:r>
      <w:r w:rsidR="00C23F60" w:rsidRPr="00C77F4E">
        <w:rPr>
          <w:rFonts w:ascii="Helvetica" w:hAnsi="Helvetica" w:cs="Arial"/>
          <w:color w:val="1F497D" w:themeColor="text2"/>
          <w:sz w:val="20"/>
          <w:szCs w:val="20"/>
        </w:rPr>
        <w:t>.</w:t>
      </w:r>
      <w:r w:rsidR="00343A36" w:rsidRPr="00C77F4E">
        <w:rPr>
          <w:rFonts w:ascii="Helvetica" w:hAnsi="Helvetica" w:cs="Arial"/>
          <w:color w:val="1F497D" w:themeColor="text2"/>
          <w:sz w:val="20"/>
          <w:szCs w:val="20"/>
        </w:rPr>
        <w:t xml:space="preserve"> </w:t>
      </w:r>
      <w:r w:rsidR="00D77DE7" w:rsidRPr="00C77F4E">
        <w:rPr>
          <w:rFonts w:ascii="Helvetica" w:hAnsi="Helvetica" w:cs="Arial"/>
          <w:color w:val="1F497D" w:themeColor="text2"/>
          <w:sz w:val="20"/>
          <w:szCs w:val="20"/>
        </w:rPr>
        <w:t xml:space="preserve"> Addressing this perspective </w:t>
      </w:r>
      <w:r w:rsidR="00343A36" w:rsidRPr="00C77F4E">
        <w:rPr>
          <w:rFonts w:ascii="Helvetica" w:hAnsi="Helvetica" w:cs="Arial"/>
          <w:color w:val="1F497D" w:themeColor="text2"/>
          <w:sz w:val="20"/>
          <w:szCs w:val="20"/>
        </w:rPr>
        <w:t>could include examples of public and community projects/programs outside of coursework, or as structured elements within coursework.</w:t>
      </w:r>
    </w:p>
    <w:p w14:paraId="69512329" w14:textId="77777777" w:rsidR="001733FF" w:rsidRPr="00C77F4E" w:rsidRDefault="001733FF" w:rsidP="002F5349">
      <w:pPr>
        <w:spacing w:after="120" w:line="240" w:lineRule="auto"/>
        <w:rPr>
          <w:rFonts w:ascii="Helvetica" w:hAnsi="Helvetica" w:cs="Arial"/>
          <w:i/>
          <w:sz w:val="20"/>
          <w:szCs w:val="20"/>
        </w:rPr>
      </w:pPr>
      <w:r w:rsidRPr="00C77F4E">
        <w:rPr>
          <w:rFonts w:ascii="Helvetica" w:hAnsi="Helvetica" w:cs="Arial"/>
          <w:i/>
          <w:sz w:val="20"/>
          <w:szCs w:val="20"/>
        </w:rPr>
        <w:t>The APR must include the following:</w:t>
      </w:r>
    </w:p>
    <w:p w14:paraId="68BEDD12" w14:textId="77777777" w:rsidR="001733FF" w:rsidRPr="00C77F4E" w:rsidRDefault="001733FF" w:rsidP="002F5349">
      <w:pPr>
        <w:numPr>
          <w:ilvl w:val="0"/>
          <w:numId w:val="9"/>
        </w:numPr>
        <w:spacing w:after="120" w:line="240" w:lineRule="auto"/>
        <w:ind w:left="720"/>
        <w:rPr>
          <w:rFonts w:ascii="Helvetica" w:hAnsi="Helvetica" w:cs="Arial"/>
          <w:sz w:val="20"/>
          <w:szCs w:val="20"/>
        </w:rPr>
      </w:pPr>
      <w:r w:rsidRPr="00C77F4E">
        <w:rPr>
          <w:rFonts w:ascii="Helvetica" w:hAnsi="Helvetica" w:cs="Arial"/>
          <w:i/>
          <w:sz w:val="20"/>
          <w:szCs w:val="20"/>
        </w:rPr>
        <w:t>A description of the program’s approach to each of the five perspectives.</w:t>
      </w:r>
    </w:p>
    <w:p w14:paraId="7D33DB12" w14:textId="77777777" w:rsidR="009C7C91" w:rsidRPr="00C77F4E" w:rsidRDefault="009C7C91" w:rsidP="002F5349">
      <w:pPr>
        <w:numPr>
          <w:ilvl w:val="0"/>
          <w:numId w:val="9"/>
        </w:numPr>
        <w:spacing w:after="120" w:line="240" w:lineRule="auto"/>
        <w:ind w:left="720"/>
        <w:rPr>
          <w:rFonts w:ascii="Helvetica" w:hAnsi="Helvetica" w:cs="Arial"/>
          <w:sz w:val="20"/>
          <w:szCs w:val="20"/>
        </w:rPr>
      </w:pPr>
      <w:r w:rsidRPr="00C77F4E">
        <w:rPr>
          <w:rFonts w:ascii="Helvetica" w:hAnsi="Helvetica" w:cs="Arial"/>
          <w:i/>
          <w:sz w:val="20"/>
          <w:szCs w:val="20"/>
        </w:rPr>
        <w:t>Identification of individual courses, curricular and co-curricular activities, or learning experiences/opportunities available to students to deve</w:t>
      </w:r>
      <w:r w:rsidR="00BE6D3E" w:rsidRPr="00C77F4E">
        <w:rPr>
          <w:rFonts w:ascii="Helvetica" w:hAnsi="Helvetica" w:cs="Arial"/>
          <w:i/>
          <w:sz w:val="20"/>
          <w:szCs w:val="20"/>
        </w:rPr>
        <w:t>lop the knowledge, skills, or understandings described in each perspective.</w:t>
      </w:r>
    </w:p>
    <w:p w14:paraId="49683215" w14:textId="77777777" w:rsidR="001733FF" w:rsidRPr="00C77F4E" w:rsidRDefault="001733FF" w:rsidP="002F5349">
      <w:pPr>
        <w:numPr>
          <w:ilvl w:val="0"/>
          <w:numId w:val="9"/>
        </w:numPr>
        <w:spacing w:after="120" w:line="240" w:lineRule="auto"/>
        <w:ind w:left="720"/>
        <w:rPr>
          <w:rFonts w:ascii="Helvetica" w:hAnsi="Helvetica" w:cs="Arial"/>
          <w:sz w:val="20"/>
          <w:szCs w:val="20"/>
        </w:rPr>
      </w:pPr>
      <w:r w:rsidRPr="00C77F4E">
        <w:rPr>
          <w:rFonts w:ascii="Helvetica" w:hAnsi="Helvetica" w:cs="Arial"/>
          <w:i/>
          <w:sz w:val="20"/>
          <w:szCs w:val="20"/>
        </w:rPr>
        <w:t xml:space="preserve">A description of how the </w:t>
      </w:r>
      <w:r w:rsidR="00BE6D3E" w:rsidRPr="00C77F4E">
        <w:rPr>
          <w:rFonts w:ascii="Helvetica" w:hAnsi="Helvetica" w:cs="Arial"/>
          <w:i/>
          <w:sz w:val="20"/>
          <w:szCs w:val="20"/>
        </w:rPr>
        <w:t>perspectives inform or support some or all of t</w:t>
      </w:r>
      <w:r w:rsidRPr="00C77F4E">
        <w:rPr>
          <w:rFonts w:ascii="Helvetica" w:hAnsi="Helvetica" w:cs="Arial"/>
          <w:i/>
          <w:sz w:val="20"/>
          <w:szCs w:val="20"/>
        </w:rPr>
        <w:t>he following activities (not inclusive):</w:t>
      </w:r>
    </w:p>
    <w:p w14:paraId="3D5622E0" w14:textId="77777777" w:rsidR="001733FF" w:rsidRPr="00C77F4E" w:rsidRDefault="001733FF" w:rsidP="002F5349">
      <w:pPr>
        <w:numPr>
          <w:ilvl w:val="1"/>
          <w:numId w:val="9"/>
        </w:numPr>
        <w:spacing w:after="120" w:line="240" w:lineRule="auto"/>
        <w:ind w:left="1080"/>
        <w:rPr>
          <w:rFonts w:ascii="Helvetica" w:hAnsi="Helvetica" w:cs="Arial"/>
          <w:sz w:val="20"/>
          <w:szCs w:val="20"/>
        </w:rPr>
      </w:pPr>
      <w:r w:rsidRPr="00C77F4E">
        <w:rPr>
          <w:rFonts w:ascii="Helvetica" w:hAnsi="Helvetica" w:cs="Arial"/>
          <w:i/>
          <w:sz w:val="20"/>
          <w:szCs w:val="20"/>
        </w:rPr>
        <w:t>Learning culture</w:t>
      </w:r>
    </w:p>
    <w:p w14:paraId="2C84BDA6" w14:textId="77777777" w:rsidR="001733FF" w:rsidRPr="00C77F4E" w:rsidRDefault="001733FF" w:rsidP="002F5349">
      <w:pPr>
        <w:numPr>
          <w:ilvl w:val="1"/>
          <w:numId w:val="9"/>
        </w:numPr>
        <w:spacing w:after="120" w:line="240" w:lineRule="auto"/>
        <w:ind w:left="1080"/>
        <w:rPr>
          <w:rFonts w:ascii="Helvetica" w:hAnsi="Helvetica" w:cs="Arial"/>
          <w:sz w:val="20"/>
          <w:szCs w:val="20"/>
        </w:rPr>
      </w:pPr>
      <w:r w:rsidRPr="00C77F4E">
        <w:rPr>
          <w:rFonts w:ascii="Helvetica" w:hAnsi="Helvetica" w:cs="Arial"/>
          <w:i/>
          <w:sz w:val="20"/>
          <w:szCs w:val="20"/>
        </w:rPr>
        <w:t>Curriculum design, review, and development</w:t>
      </w:r>
    </w:p>
    <w:p w14:paraId="7B6C4DB6" w14:textId="77777777" w:rsidR="001733FF" w:rsidRPr="00C77F4E" w:rsidRDefault="00196B20" w:rsidP="002F5349">
      <w:pPr>
        <w:numPr>
          <w:ilvl w:val="1"/>
          <w:numId w:val="9"/>
        </w:numPr>
        <w:spacing w:after="120" w:line="240" w:lineRule="auto"/>
        <w:ind w:left="1080"/>
        <w:rPr>
          <w:rFonts w:ascii="Helvetica" w:hAnsi="Helvetica" w:cs="Arial"/>
          <w:sz w:val="20"/>
          <w:szCs w:val="20"/>
        </w:rPr>
      </w:pPr>
      <w:r w:rsidRPr="00C77F4E">
        <w:rPr>
          <w:rFonts w:ascii="Helvetica" w:hAnsi="Helvetica" w:cs="Arial"/>
          <w:i/>
          <w:sz w:val="20"/>
          <w:szCs w:val="20"/>
        </w:rPr>
        <w:t>Specific course review, development, or revision</w:t>
      </w:r>
    </w:p>
    <w:p w14:paraId="04EE391B" w14:textId="77777777" w:rsidR="001733FF" w:rsidRPr="00C77F4E" w:rsidRDefault="001733FF" w:rsidP="002F5349">
      <w:pPr>
        <w:numPr>
          <w:ilvl w:val="1"/>
          <w:numId w:val="9"/>
        </w:numPr>
        <w:spacing w:after="120" w:line="240" w:lineRule="auto"/>
        <w:ind w:left="1080"/>
        <w:rPr>
          <w:rFonts w:ascii="Helvetica" w:hAnsi="Helvetica" w:cs="Arial"/>
          <w:sz w:val="20"/>
          <w:szCs w:val="20"/>
        </w:rPr>
      </w:pPr>
      <w:r w:rsidRPr="00C77F4E">
        <w:rPr>
          <w:rFonts w:ascii="Helvetica" w:hAnsi="Helvetica" w:cs="Arial"/>
          <w:i/>
          <w:sz w:val="20"/>
          <w:szCs w:val="20"/>
        </w:rPr>
        <w:t>Off-campus, extra-curricular, or co-curricular learning experiences (e.g., field trips, service projects, student organizations, or design centers)</w:t>
      </w:r>
    </w:p>
    <w:p w14:paraId="42116932" w14:textId="77777777" w:rsidR="001733FF" w:rsidRPr="00C77F4E" w:rsidRDefault="001733FF" w:rsidP="002F5349">
      <w:pPr>
        <w:numPr>
          <w:ilvl w:val="1"/>
          <w:numId w:val="9"/>
        </w:numPr>
        <w:spacing w:after="120" w:line="240" w:lineRule="auto"/>
        <w:ind w:left="1080"/>
        <w:rPr>
          <w:rFonts w:ascii="Helvetica" w:hAnsi="Helvetica" w:cs="Arial"/>
          <w:sz w:val="20"/>
          <w:szCs w:val="20"/>
        </w:rPr>
      </w:pPr>
      <w:r w:rsidRPr="00C77F4E">
        <w:rPr>
          <w:rFonts w:ascii="Helvetica" w:hAnsi="Helvetica" w:cs="Arial"/>
          <w:i/>
          <w:sz w:val="20"/>
          <w:szCs w:val="20"/>
        </w:rPr>
        <w:t>Long-range planning for the program</w:t>
      </w:r>
    </w:p>
    <w:p w14:paraId="30FD7955" w14:textId="77777777" w:rsidR="009C7C91" w:rsidRPr="00C77F4E" w:rsidRDefault="001733FF" w:rsidP="002F5349">
      <w:pPr>
        <w:numPr>
          <w:ilvl w:val="1"/>
          <w:numId w:val="9"/>
        </w:numPr>
        <w:spacing w:after="120" w:line="240" w:lineRule="auto"/>
        <w:ind w:left="1080"/>
        <w:rPr>
          <w:rFonts w:ascii="Helvetica" w:hAnsi="Helvetica" w:cs="Arial"/>
          <w:sz w:val="20"/>
          <w:szCs w:val="20"/>
        </w:rPr>
      </w:pPr>
      <w:r w:rsidRPr="00C77F4E">
        <w:rPr>
          <w:rFonts w:ascii="Helvetica" w:hAnsi="Helvetica" w:cs="Arial"/>
          <w:i/>
          <w:sz w:val="20"/>
          <w:szCs w:val="20"/>
        </w:rPr>
        <w:t>Self-assessment activities for the program</w:t>
      </w:r>
    </w:p>
    <w:p w14:paraId="07248760" w14:textId="77777777" w:rsidR="001733FF" w:rsidRPr="00C77F4E" w:rsidRDefault="001733FF" w:rsidP="002F5349">
      <w:pPr>
        <w:pStyle w:val="Heading2"/>
        <w:spacing w:before="0" w:after="120" w:line="240" w:lineRule="auto"/>
        <w:rPr>
          <w:rFonts w:ascii="Helvetica" w:hAnsi="Helvetica" w:cs="Arial"/>
          <w:i w:val="0"/>
          <w:sz w:val="20"/>
          <w:szCs w:val="20"/>
        </w:rPr>
      </w:pPr>
      <w:bookmarkStart w:id="19" w:name="_Toc462758522"/>
      <w:bookmarkStart w:id="20" w:name="_Toc358370819"/>
      <w:bookmarkStart w:id="21" w:name="_Toc232416582"/>
      <w:r w:rsidRPr="00C77F4E">
        <w:rPr>
          <w:rFonts w:ascii="Helvetica" w:hAnsi="Helvetica" w:cs="Arial"/>
          <w:i w:val="0"/>
          <w:sz w:val="20"/>
          <w:szCs w:val="20"/>
        </w:rPr>
        <w:t xml:space="preserve">I.1.5 </w:t>
      </w:r>
      <w:r w:rsidR="00053CC2" w:rsidRPr="00C77F4E">
        <w:rPr>
          <w:rFonts w:ascii="Helvetica" w:hAnsi="Helvetica" w:cs="Arial"/>
          <w:i w:val="0"/>
          <w:sz w:val="20"/>
          <w:szCs w:val="20"/>
        </w:rPr>
        <w:t>Long-Range Planning</w:t>
      </w:r>
      <w:bookmarkEnd w:id="19"/>
      <w:r w:rsidR="00053CC2" w:rsidRPr="00C77F4E">
        <w:rPr>
          <w:rFonts w:ascii="Helvetica" w:hAnsi="Helvetica" w:cs="Arial"/>
          <w:i w:val="0"/>
          <w:sz w:val="20"/>
          <w:szCs w:val="20"/>
        </w:rPr>
        <w:t xml:space="preserve"> </w:t>
      </w:r>
    </w:p>
    <w:p w14:paraId="1F6A2B05" w14:textId="77777777" w:rsidR="00053CC2" w:rsidRPr="00C77F4E" w:rsidRDefault="00053CC2" w:rsidP="00053CC2">
      <w:pPr>
        <w:spacing w:after="120" w:line="240" w:lineRule="auto"/>
        <w:rPr>
          <w:rFonts w:ascii="Helvetica" w:hAnsi="Helvetica" w:cs="Arial"/>
          <w:i/>
          <w:sz w:val="20"/>
          <w:szCs w:val="20"/>
        </w:rPr>
      </w:pPr>
      <w:r w:rsidRPr="00C77F4E">
        <w:rPr>
          <w:rFonts w:ascii="Helvetica" w:hAnsi="Helvetica" w:cs="Arial"/>
          <w:i/>
          <w:sz w:val="20"/>
          <w:szCs w:val="20"/>
        </w:rPr>
        <w:t>The APR must include:</w:t>
      </w:r>
    </w:p>
    <w:p w14:paraId="47011AAF" w14:textId="2BDBBD52" w:rsidR="00053CC2" w:rsidRPr="00C77F4E" w:rsidRDefault="00053CC2" w:rsidP="003F5957">
      <w:pPr>
        <w:numPr>
          <w:ilvl w:val="0"/>
          <w:numId w:val="8"/>
        </w:numPr>
        <w:spacing w:after="120" w:line="240" w:lineRule="auto"/>
        <w:ind w:left="900"/>
        <w:rPr>
          <w:rFonts w:ascii="Helvetica" w:hAnsi="Helvetica" w:cs="Arial"/>
          <w:sz w:val="20"/>
          <w:szCs w:val="20"/>
        </w:rPr>
      </w:pPr>
      <w:r w:rsidRPr="00C77F4E">
        <w:rPr>
          <w:rFonts w:ascii="Helvetica" w:hAnsi="Helvetica" w:cs="Arial"/>
          <w:i/>
          <w:sz w:val="20"/>
          <w:szCs w:val="20"/>
        </w:rPr>
        <w:t>A description of the process by which the program identifies its objectives for student learning</w:t>
      </w:r>
      <w:r w:rsidR="003F5957">
        <w:rPr>
          <w:rFonts w:ascii="Helvetica" w:hAnsi="Helvetica" w:cs="Arial"/>
          <w:i/>
          <w:sz w:val="20"/>
          <w:szCs w:val="20"/>
        </w:rPr>
        <w:t>.</w:t>
      </w:r>
    </w:p>
    <w:p w14:paraId="10698A70" w14:textId="77777777" w:rsidR="00053CC2" w:rsidRPr="00C77F4E" w:rsidRDefault="00053CC2" w:rsidP="003F5957">
      <w:pPr>
        <w:numPr>
          <w:ilvl w:val="0"/>
          <w:numId w:val="8"/>
        </w:numPr>
        <w:spacing w:after="120" w:line="240" w:lineRule="auto"/>
        <w:ind w:left="900"/>
        <w:rPr>
          <w:rFonts w:ascii="Helvetica" w:hAnsi="Helvetica" w:cs="Arial"/>
          <w:sz w:val="20"/>
          <w:szCs w:val="20"/>
        </w:rPr>
      </w:pPr>
      <w:r w:rsidRPr="00C77F4E">
        <w:rPr>
          <w:rFonts w:ascii="Helvetica" w:hAnsi="Helvetica" w:cs="Arial"/>
          <w:i/>
          <w:sz w:val="20"/>
          <w:szCs w:val="20"/>
        </w:rPr>
        <w:t>A description of the data and information sources used to inform the development of these objectives.</w:t>
      </w:r>
    </w:p>
    <w:p w14:paraId="3BF09C84" w14:textId="77777777" w:rsidR="00053CC2" w:rsidRPr="00C77F4E" w:rsidRDefault="00053CC2" w:rsidP="003F5957">
      <w:pPr>
        <w:numPr>
          <w:ilvl w:val="0"/>
          <w:numId w:val="8"/>
        </w:numPr>
        <w:spacing w:after="120" w:line="240" w:lineRule="auto"/>
        <w:ind w:left="900"/>
        <w:rPr>
          <w:rFonts w:ascii="Helvetica" w:hAnsi="Helvetica" w:cs="Arial"/>
          <w:sz w:val="20"/>
          <w:szCs w:val="20"/>
        </w:rPr>
      </w:pPr>
      <w:r w:rsidRPr="00C77F4E">
        <w:rPr>
          <w:rFonts w:ascii="Helvetica" w:hAnsi="Helvetica" w:cs="Arial"/>
          <w:i/>
          <w:sz w:val="20"/>
          <w:szCs w:val="20"/>
        </w:rPr>
        <w:t>A description of the role of long-range planning in other programmatic and institutional planning initiatives.</w:t>
      </w:r>
    </w:p>
    <w:p w14:paraId="18B145C7" w14:textId="77777777" w:rsidR="00053CC2" w:rsidRPr="00C77F4E" w:rsidRDefault="00053CC2" w:rsidP="003F5957">
      <w:pPr>
        <w:numPr>
          <w:ilvl w:val="0"/>
          <w:numId w:val="8"/>
        </w:numPr>
        <w:spacing w:after="120" w:line="240" w:lineRule="auto"/>
        <w:ind w:left="900"/>
        <w:rPr>
          <w:rFonts w:ascii="Helvetica" w:hAnsi="Helvetica" w:cs="Arial"/>
          <w:sz w:val="20"/>
          <w:szCs w:val="20"/>
        </w:rPr>
      </w:pPr>
      <w:r w:rsidRPr="00C77F4E">
        <w:rPr>
          <w:rFonts w:ascii="Helvetica" w:hAnsi="Helvetica" w:cs="Arial"/>
          <w:i/>
          <w:sz w:val="20"/>
          <w:szCs w:val="20"/>
        </w:rPr>
        <w:t>A description of the role the five perspectives play in long-range planning.</w:t>
      </w:r>
    </w:p>
    <w:p w14:paraId="63CEA441" w14:textId="77777777" w:rsidR="001733FF" w:rsidRPr="00C77F4E" w:rsidRDefault="00053CC2" w:rsidP="002F5349">
      <w:pPr>
        <w:pStyle w:val="Heading2"/>
        <w:spacing w:before="0" w:after="120" w:line="240" w:lineRule="auto"/>
        <w:rPr>
          <w:rFonts w:ascii="Helvetica" w:hAnsi="Helvetica" w:cs="Arial"/>
          <w:color w:val="FF0000"/>
          <w:sz w:val="20"/>
          <w:szCs w:val="20"/>
        </w:rPr>
      </w:pPr>
      <w:bookmarkStart w:id="22" w:name="_Toc358370820"/>
      <w:bookmarkStart w:id="23" w:name="_Toc462758523"/>
      <w:bookmarkStart w:id="24" w:name="_Toc232416583"/>
      <w:bookmarkEnd w:id="20"/>
      <w:bookmarkEnd w:id="21"/>
      <w:r w:rsidRPr="00C77F4E">
        <w:rPr>
          <w:rFonts w:ascii="Helvetica" w:hAnsi="Helvetica" w:cs="Arial"/>
          <w:i w:val="0"/>
          <w:sz w:val="20"/>
          <w:szCs w:val="20"/>
        </w:rPr>
        <w:t>I.1.6.A Program Self-</w:t>
      </w:r>
      <w:r w:rsidR="001733FF" w:rsidRPr="00C77F4E">
        <w:rPr>
          <w:rFonts w:ascii="Helvetica" w:hAnsi="Helvetica" w:cs="Arial"/>
          <w:i w:val="0"/>
          <w:sz w:val="20"/>
          <w:szCs w:val="20"/>
        </w:rPr>
        <w:t>Assessment</w:t>
      </w:r>
      <w:r w:rsidR="001733FF" w:rsidRPr="00C77F4E">
        <w:rPr>
          <w:rFonts w:ascii="Helvetica" w:hAnsi="Helvetica" w:cs="Arial"/>
          <w:b w:val="0"/>
          <w:i w:val="0"/>
          <w:sz w:val="20"/>
          <w:szCs w:val="20"/>
        </w:rPr>
        <w:t>:</w:t>
      </w:r>
      <w:bookmarkEnd w:id="22"/>
      <w:bookmarkEnd w:id="23"/>
      <w:r w:rsidR="001733FF" w:rsidRPr="00C77F4E">
        <w:rPr>
          <w:rFonts w:ascii="Helvetica" w:hAnsi="Helvetica" w:cs="Arial"/>
          <w:b w:val="0"/>
          <w:i w:val="0"/>
          <w:sz w:val="20"/>
          <w:szCs w:val="20"/>
        </w:rPr>
        <w:t xml:space="preserve"> </w:t>
      </w:r>
      <w:bookmarkEnd w:id="24"/>
    </w:p>
    <w:p w14:paraId="09803DF7" w14:textId="77777777" w:rsidR="001733FF" w:rsidRPr="00C77F4E" w:rsidRDefault="001733FF" w:rsidP="002F5349">
      <w:pPr>
        <w:spacing w:after="120" w:line="240" w:lineRule="auto"/>
        <w:rPr>
          <w:rFonts w:ascii="Helvetica" w:hAnsi="Helvetica" w:cs="Arial"/>
          <w:i/>
          <w:sz w:val="20"/>
          <w:szCs w:val="20"/>
        </w:rPr>
      </w:pPr>
      <w:r w:rsidRPr="00C77F4E">
        <w:rPr>
          <w:rFonts w:ascii="Helvetica" w:hAnsi="Helvetica" w:cs="Arial"/>
          <w:i/>
          <w:sz w:val="20"/>
          <w:szCs w:val="20"/>
        </w:rPr>
        <w:t xml:space="preserve">The </w:t>
      </w:r>
      <w:r w:rsidRPr="00C77F4E">
        <w:rPr>
          <w:rFonts w:ascii="Helvetica" w:hAnsi="Helvetica" w:cs="Arial"/>
          <w:i/>
          <w:iCs/>
          <w:sz w:val="20"/>
          <w:szCs w:val="20"/>
        </w:rPr>
        <w:t>APR</w:t>
      </w:r>
      <w:r w:rsidRPr="00C77F4E">
        <w:rPr>
          <w:rFonts w:ascii="Helvetica" w:hAnsi="Helvetica" w:cs="Arial"/>
          <w:i/>
          <w:sz w:val="20"/>
          <w:szCs w:val="20"/>
        </w:rPr>
        <w:t xml:space="preserve"> must include the following:</w:t>
      </w:r>
    </w:p>
    <w:p w14:paraId="3E388299" w14:textId="77777777" w:rsidR="00C77F4E" w:rsidRPr="00C77F4E" w:rsidRDefault="00C77F4E" w:rsidP="00C77F4E">
      <w:pPr>
        <w:widowControl w:val="0"/>
        <w:numPr>
          <w:ilvl w:val="0"/>
          <w:numId w:val="7"/>
        </w:numPr>
        <w:tabs>
          <w:tab w:val="left" w:pos="-1080"/>
          <w:tab w:val="left" w:pos="-720"/>
        </w:tabs>
        <w:autoSpaceDE w:val="0"/>
        <w:autoSpaceDN w:val="0"/>
        <w:adjustRightInd w:val="0"/>
        <w:spacing w:after="120" w:line="22" w:lineRule="atLeast"/>
        <w:ind w:left="810" w:hanging="270"/>
        <w:rPr>
          <w:rFonts w:ascii="Helvetica" w:hAnsi="Helvetica" w:cs="Helvetica"/>
          <w:i/>
          <w:sz w:val="20"/>
          <w:szCs w:val="20"/>
        </w:rPr>
      </w:pPr>
      <w:r w:rsidRPr="00C77F4E">
        <w:rPr>
          <w:rFonts w:ascii="Helvetica" w:hAnsi="Helvetica" w:cs="Helvetica"/>
          <w:i/>
          <w:sz w:val="20"/>
          <w:szCs w:val="20"/>
        </w:rPr>
        <w:t>For programs at institutions with a mandatory system of internal review:</w:t>
      </w:r>
    </w:p>
    <w:p w14:paraId="18F701B9" w14:textId="77777777" w:rsidR="00C77F4E" w:rsidRPr="00C77F4E" w:rsidRDefault="00C77F4E" w:rsidP="00C77F4E">
      <w:pPr>
        <w:widowControl w:val="0"/>
        <w:numPr>
          <w:ilvl w:val="1"/>
          <w:numId w:val="7"/>
        </w:numPr>
        <w:tabs>
          <w:tab w:val="left" w:pos="-1080"/>
          <w:tab w:val="left" w:pos="-720"/>
        </w:tabs>
        <w:autoSpaceDE w:val="0"/>
        <w:autoSpaceDN w:val="0"/>
        <w:adjustRightInd w:val="0"/>
        <w:spacing w:after="120" w:line="22" w:lineRule="atLeast"/>
        <w:rPr>
          <w:rFonts w:ascii="Helvetica" w:hAnsi="Helvetica" w:cs="Helvetica"/>
          <w:i/>
          <w:sz w:val="20"/>
          <w:szCs w:val="20"/>
        </w:rPr>
      </w:pPr>
      <w:r w:rsidRPr="00C77F4E">
        <w:rPr>
          <w:rFonts w:ascii="Helvetica" w:hAnsi="Helvetica" w:cs="Helvetica"/>
          <w:i/>
          <w:sz w:val="20"/>
          <w:szCs w:val="20"/>
        </w:rPr>
        <w:t xml:space="preserve">A description of the </w:t>
      </w:r>
      <w:r w:rsidRPr="00C77F4E">
        <w:rPr>
          <w:rFonts w:ascii="Helvetica" w:hAnsi="Helvetica" w:cs="Helvetica"/>
          <w:b/>
          <w:i/>
          <w:sz w:val="20"/>
          <w:szCs w:val="20"/>
        </w:rPr>
        <w:t>institutional program review or self-assessment process</w:t>
      </w:r>
      <w:r w:rsidRPr="00C77F4E">
        <w:rPr>
          <w:rFonts w:ascii="Helvetica" w:hAnsi="Helvetica" w:cs="Helvetica"/>
          <w:i/>
          <w:sz w:val="20"/>
          <w:szCs w:val="20"/>
        </w:rPr>
        <w:t>, specifically with regard to ongoing evaluation of the program’s mission and multi-year planning objectives</w:t>
      </w:r>
      <w:r w:rsidRPr="00C77F4E">
        <w:rPr>
          <w:rFonts w:ascii="Helvetica" w:hAnsi="Helvetica" w:cs="Helvetica"/>
          <w:i/>
          <w:iCs/>
          <w:sz w:val="20"/>
          <w:szCs w:val="20"/>
        </w:rPr>
        <w:t>.</w:t>
      </w:r>
    </w:p>
    <w:p w14:paraId="5709DD63" w14:textId="77777777" w:rsidR="00C77F4E" w:rsidRPr="00C77F4E" w:rsidRDefault="00C77F4E" w:rsidP="00C77F4E">
      <w:pPr>
        <w:widowControl w:val="0"/>
        <w:numPr>
          <w:ilvl w:val="1"/>
          <w:numId w:val="7"/>
        </w:numPr>
        <w:tabs>
          <w:tab w:val="left" w:pos="-1080"/>
          <w:tab w:val="left" w:pos="-720"/>
        </w:tabs>
        <w:autoSpaceDE w:val="0"/>
        <w:autoSpaceDN w:val="0"/>
        <w:adjustRightInd w:val="0"/>
        <w:spacing w:after="120" w:line="22" w:lineRule="atLeast"/>
        <w:rPr>
          <w:rFonts w:ascii="Helvetica" w:hAnsi="Helvetica" w:cs="Helvetica"/>
          <w:i/>
          <w:sz w:val="20"/>
          <w:szCs w:val="20"/>
        </w:rPr>
      </w:pPr>
      <w:r w:rsidRPr="00C77F4E">
        <w:rPr>
          <w:rFonts w:ascii="Helvetica" w:hAnsi="Helvetica" w:cs="Helvetica"/>
          <w:i/>
          <w:sz w:val="20"/>
          <w:szCs w:val="20"/>
        </w:rPr>
        <w:t xml:space="preserve">A description of </w:t>
      </w:r>
      <w:r w:rsidRPr="00C77F4E">
        <w:rPr>
          <w:rFonts w:ascii="Helvetica" w:hAnsi="Helvetica" w:cs="Helvetica"/>
          <w:b/>
          <w:i/>
          <w:sz w:val="20"/>
          <w:szCs w:val="20"/>
        </w:rPr>
        <w:t>the way</w:t>
      </w:r>
      <w:r w:rsidRPr="00C77F4E">
        <w:rPr>
          <w:rFonts w:ascii="Helvetica" w:hAnsi="Helvetica" w:cs="Helvetica"/>
          <w:i/>
          <w:sz w:val="20"/>
          <w:szCs w:val="20"/>
        </w:rPr>
        <w:t xml:space="preserve"> results from </w:t>
      </w:r>
      <w:r w:rsidRPr="00C77F4E">
        <w:rPr>
          <w:rFonts w:ascii="Helvetica" w:hAnsi="Helvetica" w:cs="Helvetica"/>
          <w:b/>
          <w:i/>
          <w:sz w:val="20"/>
          <w:szCs w:val="20"/>
        </w:rPr>
        <w:t>institutional</w:t>
      </w:r>
      <w:r w:rsidRPr="00C77F4E">
        <w:rPr>
          <w:rFonts w:ascii="Helvetica" w:hAnsi="Helvetica" w:cs="Helvetica"/>
          <w:i/>
          <w:sz w:val="20"/>
          <w:szCs w:val="20"/>
        </w:rPr>
        <w:t xml:space="preserve"> self-assessment activities are used to </w:t>
      </w:r>
    </w:p>
    <w:p w14:paraId="307F0E3C" w14:textId="77777777" w:rsidR="00C77F4E" w:rsidRPr="00C77F4E" w:rsidRDefault="00C77F4E" w:rsidP="00C77F4E">
      <w:pPr>
        <w:widowControl w:val="0"/>
        <w:numPr>
          <w:ilvl w:val="2"/>
          <w:numId w:val="7"/>
        </w:numPr>
        <w:tabs>
          <w:tab w:val="left" w:pos="-1080"/>
          <w:tab w:val="left" w:pos="-720"/>
        </w:tabs>
        <w:autoSpaceDE w:val="0"/>
        <w:autoSpaceDN w:val="0"/>
        <w:adjustRightInd w:val="0"/>
        <w:spacing w:after="120" w:line="22" w:lineRule="atLeast"/>
        <w:rPr>
          <w:rFonts w:ascii="Helvetica" w:hAnsi="Helvetica" w:cs="Helvetica"/>
          <w:i/>
          <w:sz w:val="20"/>
          <w:szCs w:val="20"/>
        </w:rPr>
      </w:pPr>
      <w:r w:rsidRPr="00C77F4E">
        <w:rPr>
          <w:rFonts w:ascii="Helvetica" w:hAnsi="Helvetica" w:cs="Helvetica"/>
          <w:i/>
          <w:sz w:val="20"/>
          <w:szCs w:val="20"/>
        </w:rPr>
        <w:t>Improve the quality of education and/or teaching</w:t>
      </w:r>
    </w:p>
    <w:p w14:paraId="1551E386" w14:textId="77777777" w:rsidR="00C77F4E" w:rsidRPr="00C77F4E" w:rsidRDefault="00C77F4E" w:rsidP="00C77F4E">
      <w:pPr>
        <w:widowControl w:val="0"/>
        <w:numPr>
          <w:ilvl w:val="2"/>
          <w:numId w:val="7"/>
        </w:numPr>
        <w:tabs>
          <w:tab w:val="left" w:pos="-1080"/>
          <w:tab w:val="left" w:pos="-720"/>
        </w:tabs>
        <w:autoSpaceDE w:val="0"/>
        <w:autoSpaceDN w:val="0"/>
        <w:adjustRightInd w:val="0"/>
        <w:spacing w:after="120" w:line="22" w:lineRule="atLeast"/>
        <w:rPr>
          <w:rFonts w:ascii="Helvetica" w:hAnsi="Helvetica" w:cs="Helvetica"/>
          <w:i/>
          <w:sz w:val="20"/>
          <w:szCs w:val="20"/>
        </w:rPr>
      </w:pPr>
      <w:r w:rsidRPr="00C77F4E">
        <w:rPr>
          <w:rFonts w:ascii="Helvetica" w:hAnsi="Helvetica" w:cs="Helvetica"/>
          <w:i/>
          <w:sz w:val="20"/>
          <w:szCs w:val="20"/>
        </w:rPr>
        <w:t>Inform a program’s long-range planning, curriculum development, learning culture, and responses to external pressures or challenges to the institution.</w:t>
      </w:r>
    </w:p>
    <w:p w14:paraId="0192495A" w14:textId="77777777" w:rsidR="00C77F4E" w:rsidRPr="00C77F4E" w:rsidRDefault="00C77F4E" w:rsidP="00C77F4E">
      <w:pPr>
        <w:widowControl w:val="0"/>
        <w:numPr>
          <w:ilvl w:val="1"/>
          <w:numId w:val="7"/>
        </w:numPr>
        <w:tabs>
          <w:tab w:val="left" w:pos="-1080"/>
          <w:tab w:val="left" w:pos="-720"/>
        </w:tabs>
        <w:autoSpaceDE w:val="0"/>
        <w:autoSpaceDN w:val="0"/>
        <w:adjustRightInd w:val="0"/>
        <w:spacing w:after="120" w:line="22" w:lineRule="atLeast"/>
        <w:rPr>
          <w:rFonts w:ascii="Helvetica" w:hAnsi="Helvetica" w:cs="Helvetica"/>
          <w:i/>
          <w:sz w:val="20"/>
          <w:szCs w:val="20"/>
        </w:rPr>
      </w:pPr>
      <w:r w:rsidRPr="00C77F4E">
        <w:rPr>
          <w:rFonts w:ascii="Helvetica" w:hAnsi="Helvetica" w:cs="Helvetica"/>
          <w:i/>
          <w:sz w:val="20"/>
          <w:szCs w:val="20"/>
        </w:rPr>
        <w:t>A copy of the most recent institutional program review report should be included in the Supplemental Material.</w:t>
      </w:r>
    </w:p>
    <w:p w14:paraId="6414A19D" w14:textId="77777777" w:rsidR="00C77F4E" w:rsidRPr="00C77F4E" w:rsidRDefault="00C77F4E" w:rsidP="00C77F4E">
      <w:pPr>
        <w:widowControl w:val="0"/>
        <w:numPr>
          <w:ilvl w:val="0"/>
          <w:numId w:val="7"/>
        </w:numPr>
        <w:tabs>
          <w:tab w:val="left" w:pos="-1080"/>
          <w:tab w:val="left" w:pos="-720"/>
        </w:tabs>
        <w:autoSpaceDE w:val="0"/>
        <w:autoSpaceDN w:val="0"/>
        <w:adjustRightInd w:val="0"/>
        <w:spacing w:after="120" w:line="22" w:lineRule="atLeast"/>
        <w:ind w:left="810" w:hanging="270"/>
        <w:rPr>
          <w:rFonts w:ascii="Helvetica" w:hAnsi="Helvetica" w:cs="Helvetica"/>
          <w:i/>
          <w:sz w:val="20"/>
          <w:szCs w:val="20"/>
        </w:rPr>
      </w:pPr>
      <w:r w:rsidRPr="00C77F4E">
        <w:rPr>
          <w:rFonts w:ascii="Helvetica" w:hAnsi="Helvetica" w:cs="Helvetica"/>
          <w:i/>
          <w:sz w:val="20"/>
          <w:szCs w:val="20"/>
        </w:rPr>
        <w:t>For programs at institutions that do not have a mandatory system of internal review:</w:t>
      </w:r>
    </w:p>
    <w:p w14:paraId="0688EC6A" w14:textId="77777777" w:rsidR="00C77F4E" w:rsidRPr="00C77F4E" w:rsidRDefault="00C77F4E" w:rsidP="00C77F4E">
      <w:pPr>
        <w:widowControl w:val="0"/>
        <w:numPr>
          <w:ilvl w:val="1"/>
          <w:numId w:val="7"/>
        </w:numPr>
        <w:tabs>
          <w:tab w:val="left" w:pos="-1080"/>
          <w:tab w:val="left" w:pos="-720"/>
        </w:tabs>
        <w:autoSpaceDE w:val="0"/>
        <w:autoSpaceDN w:val="0"/>
        <w:adjustRightInd w:val="0"/>
        <w:spacing w:after="120" w:line="22" w:lineRule="atLeast"/>
        <w:rPr>
          <w:rFonts w:ascii="Helvetica" w:hAnsi="Helvetica" w:cs="Helvetica"/>
          <w:i/>
          <w:sz w:val="20"/>
          <w:szCs w:val="20"/>
        </w:rPr>
      </w:pPr>
      <w:r w:rsidRPr="00C77F4E">
        <w:rPr>
          <w:rFonts w:ascii="Helvetica" w:hAnsi="Helvetica" w:cs="Helvetica"/>
          <w:i/>
          <w:sz w:val="20"/>
          <w:szCs w:val="20"/>
        </w:rPr>
        <w:t>A description of the program’s self-assessment process, specifically with regard to ongoing evaluation of the program’s mission and multi-year planning objectives</w:t>
      </w:r>
      <w:r w:rsidRPr="00C77F4E">
        <w:rPr>
          <w:rFonts w:ascii="Helvetica" w:hAnsi="Helvetica" w:cs="Helvetica"/>
          <w:i/>
          <w:iCs/>
          <w:sz w:val="20"/>
          <w:szCs w:val="20"/>
        </w:rPr>
        <w:t>.</w:t>
      </w:r>
    </w:p>
    <w:p w14:paraId="4DE25E6C" w14:textId="77777777" w:rsidR="00C77F4E" w:rsidRPr="00C77F4E" w:rsidRDefault="00C77F4E" w:rsidP="00C77F4E">
      <w:pPr>
        <w:widowControl w:val="0"/>
        <w:numPr>
          <w:ilvl w:val="1"/>
          <w:numId w:val="7"/>
        </w:numPr>
        <w:tabs>
          <w:tab w:val="left" w:pos="-1080"/>
          <w:tab w:val="left" w:pos="-720"/>
        </w:tabs>
        <w:autoSpaceDE w:val="0"/>
        <w:autoSpaceDN w:val="0"/>
        <w:adjustRightInd w:val="0"/>
        <w:spacing w:after="120" w:line="22" w:lineRule="atLeast"/>
        <w:rPr>
          <w:rFonts w:ascii="Helvetica" w:hAnsi="Helvetica" w:cs="Helvetica"/>
          <w:i/>
          <w:sz w:val="20"/>
          <w:szCs w:val="20"/>
        </w:rPr>
      </w:pPr>
      <w:r w:rsidRPr="00C77F4E">
        <w:rPr>
          <w:rFonts w:ascii="Helvetica" w:hAnsi="Helvetica" w:cs="Helvetica"/>
          <w:i/>
          <w:sz w:val="20"/>
          <w:szCs w:val="20"/>
        </w:rPr>
        <w:t xml:space="preserve">A description of the manner in which results from program self-assessment activities are used to </w:t>
      </w:r>
    </w:p>
    <w:p w14:paraId="004D2CC1" w14:textId="77777777" w:rsidR="00C77F4E" w:rsidRPr="00C77F4E" w:rsidRDefault="00C77F4E" w:rsidP="00C77F4E">
      <w:pPr>
        <w:widowControl w:val="0"/>
        <w:numPr>
          <w:ilvl w:val="2"/>
          <w:numId w:val="7"/>
        </w:numPr>
        <w:tabs>
          <w:tab w:val="left" w:pos="-1080"/>
          <w:tab w:val="left" w:pos="-720"/>
        </w:tabs>
        <w:autoSpaceDE w:val="0"/>
        <w:autoSpaceDN w:val="0"/>
        <w:adjustRightInd w:val="0"/>
        <w:spacing w:after="120" w:line="22" w:lineRule="atLeast"/>
        <w:rPr>
          <w:rFonts w:ascii="Helvetica" w:hAnsi="Helvetica" w:cs="Helvetica"/>
          <w:i/>
          <w:sz w:val="20"/>
          <w:szCs w:val="20"/>
        </w:rPr>
      </w:pPr>
      <w:r w:rsidRPr="00C77F4E">
        <w:rPr>
          <w:rFonts w:ascii="Helvetica" w:hAnsi="Helvetica" w:cs="Helvetica"/>
          <w:i/>
          <w:sz w:val="20"/>
          <w:szCs w:val="20"/>
        </w:rPr>
        <w:t>Improve the quality of education and/or teaching</w:t>
      </w:r>
    </w:p>
    <w:p w14:paraId="2BBAA196" w14:textId="77777777" w:rsidR="00C77F4E" w:rsidRPr="00C77F4E" w:rsidRDefault="00C77F4E" w:rsidP="00C77F4E">
      <w:pPr>
        <w:widowControl w:val="0"/>
        <w:numPr>
          <w:ilvl w:val="2"/>
          <w:numId w:val="7"/>
        </w:numPr>
        <w:tabs>
          <w:tab w:val="left" w:pos="-1080"/>
          <w:tab w:val="left" w:pos="-720"/>
        </w:tabs>
        <w:autoSpaceDE w:val="0"/>
        <w:autoSpaceDN w:val="0"/>
        <w:adjustRightInd w:val="0"/>
        <w:spacing w:after="120" w:line="22" w:lineRule="atLeast"/>
        <w:rPr>
          <w:rFonts w:ascii="Helvetica" w:hAnsi="Helvetica" w:cs="Helvetica"/>
          <w:i/>
          <w:sz w:val="20"/>
          <w:szCs w:val="20"/>
        </w:rPr>
      </w:pPr>
      <w:r w:rsidRPr="00C77F4E">
        <w:rPr>
          <w:rFonts w:ascii="Helvetica" w:hAnsi="Helvetica" w:cs="Helvetica"/>
          <w:i/>
          <w:sz w:val="20"/>
          <w:szCs w:val="20"/>
        </w:rPr>
        <w:t>Inform a program’s long-range planning, curriculum development, learning culture, and responses to external pressures or challenges to the institution.</w:t>
      </w:r>
    </w:p>
    <w:p w14:paraId="31D5B72F" w14:textId="77777777" w:rsidR="00C77F4E" w:rsidRPr="00C77F4E" w:rsidRDefault="00C77F4E" w:rsidP="00C77F4E">
      <w:pPr>
        <w:widowControl w:val="0"/>
        <w:numPr>
          <w:ilvl w:val="1"/>
          <w:numId w:val="7"/>
        </w:numPr>
        <w:tabs>
          <w:tab w:val="left" w:pos="-1080"/>
          <w:tab w:val="left" w:pos="-720"/>
        </w:tabs>
        <w:autoSpaceDE w:val="0"/>
        <w:autoSpaceDN w:val="0"/>
        <w:adjustRightInd w:val="0"/>
        <w:spacing w:after="120" w:line="22" w:lineRule="atLeast"/>
        <w:rPr>
          <w:rFonts w:ascii="Helvetica" w:hAnsi="Helvetica" w:cs="Helvetica"/>
          <w:i/>
          <w:sz w:val="20"/>
          <w:szCs w:val="20"/>
        </w:rPr>
      </w:pPr>
      <w:r w:rsidRPr="00C77F4E">
        <w:rPr>
          <w:rFonts w:ascii="Helvetica" w:hAnsi="Helvetica" w:cs="Helvetica"/>
          <w:i/>
          <w:sz w:val="20"/>
          <w:szCs w:val="20"/>
        </w:rPr>
        <w:t>At a minimum, program self-assessment procedures shall include, but are not limited to:</w:t>
      </w:r>
    </w:p>
    <w:p w14:paraId="6EE15712" w14:textId="77777777" w:rsidR="00C77F4E" w:rsidRPr="00C77F4E" w:rsidRDefault="00C77F4E" w:rsidP="00C77F4E">
      <w:pPr>
        <w:widowControl w:val="0"/>
        <w:numPr>
          <w:ilvl w:val="2"/>
          <w:numId w:val="7"/>
        </w:numPr>
        <w:tabs>
          <w:tab w:val="left" w:pos="-1080"/>
          <w:tab w:val="left" w:pos="-720"/>
        </w:tabs>
        <w:autoSpaceDE w:val="0"/>
        <w:autoSpaceDN w:val="0"/>
        <w:adjustRightInd w:val="0"/>
        <w:spacing w:after="120" w:line="22" w:lineRule="atLeast"/>
        <w:rPr>
          <w:rFonts w:ascii="Helvetica" w:hAnsi="Helvetica" w:cs="Helvetica"/>
          <w:i/>
          <w:sz w:val="20"/>
          <w:szCs w:val="20"/>
        </w:rPr>
      </w:pPr>
      <w:r w:rsidRPr="00C77F4E">
        <w:rPr>
          <w:rFonts w:ascii="Helvetica" w:hAnsi="Helvetica" w:cs="Helvetica"/>
          <w:i/>
          <w:sz w:val="20"/>
          <w:szCs w:val="20"/>
        </w:rPr>
        <w:t>Solicitation of faculty, students’, and graduates’ views on the teaching, learning and achievement opportunities provided by the curriculum.</w:t>
      </w:r>
    </w:p>
    <w:p w14:paraId="55D634F0" w14:textId="77777777" w:rsidR="00C77F4E" w:rsidRPr="00C77F4E" w:rsidRDefault="00C77F4E" w:rsidP="00C77F4E">
      <w:pPr>
        <w:widowControl w:val="0"/>
        <w:numPr>
          <w:ilvl w:val="2"/>
          <w:numId w:val="7"/>
        </w:numPr>
        <w:tabs>
          <w:tab w:val="left" w:pos="-1080"/>
          <w:tab w:val="left" w:pos="-720"/>
        </w:tabs>
        <w:autoSpaceDE w:val="0"/>
        <w:autoSpaceDN w:val="0"/>
        <w:adjustRightInd w:val="0"/>
        <w:spacing w:after="120" w:line="22" w:lineRule="atLeast"/>
        <w:rPr>
          <w:rFonts w:ascii="Helvetica" w:hAnsi="Helvetica" w:cs="Helvetica"/>
          <w:i/>
          <w:sz w:val="20"/>
          <w:szCs w:val="20"/>
        </w:rPr>
      </w:pPr>
      <w:r w:rsidRPr="00C77F4E">
        <w:rPr>
          <w:rFonts w:ascii="Helvetica" w:hAnsi="Helvetica" w:cs="Helvetica"/>
          <w:i/>
          <w:sz w:val="20"/>
          <w:szCs w:val="20"/>
        </w:rPr>
        <w:t xml:space="preserve">Individual course evaluations. </w:t>
      </w:r>
    </w:p>
    <w:p w14:paraId="15B9CE81" w14:textId="77777777" w:rsidR="00C77F4E" w:rsidRPr="00C77F4E" w:rsidRDefault="00C77F4E" w:rsidP="00C77F4E">
      <w:pPr>
        <w:widowControl w:val="0"/>
        <w:numPr>
          <w:ilvl w:val="2"/>
          <w:numId w:val="7"/>
        </w:numPr>
        <w:tabs>
          <w:tab w:val="left" w:pos="-1080"/>
          <w:tab w:val="left" w:pos="-720"/>
        </w:tabs>
        <w:autoSpaceDE w:val="0"/>
        <w:autoSpaceDN w:val="0"/>
        <w:adjustRightInd w:val="0"/>
        <w:spacing w:after="120" w:line="22" w:lineRule="atLeast"/>
        <w:rPr>
          <w:rFonts w:ascii="Helvetica" w:hAnsi="Helvetica" w:cs="Helvetica"/>
          <w:i/>
          <w:sz w:val="20"/>
          <w:szCs w:val="20"/>
        </w:rPr>
      </w:pPr>
      <w:r w:rsidRPr="00C77F4E">
        <w:rPr>
          <w:rFonts w:ascii="Helvetica" w:hAnsi="Helvetica" w:cs="Helvetica"/>
          <w:i/>
          <w:sz w:val="20"/>
          <w:szCs w:val="20"/>
        </w:rPr>
        <w:t>Review and assessment of the focus and pedagogy of the program.</w:t>
      </w:r>
    </w:p>
    <w:p w14:paraId="26AAFC84" w14:textId="77777777" w:rsidR="00053CC2" w:rsidRPr="00C77F4E" w:rsidRDefault="00053CC2" w:rsidP="00053CC2">
      <w:pPr>
        <w:widowControl w:val="0"/>
        <w:tabs>
          <w:tab w:val="left" w:pos="-1080"/>
          <w:tab w:val="left" w:pos="-720"/>
        </w:tabs>
        <w:autoSpaceDE w:val="0"/>
        <w:autoSpaceDN w:val="0"/>
        <w:adjustRightInd w:val="0"/>
        <w:spacing w:after="120" w:line="240" w:lineRule="auto"/>
        <w:rPr>
          <w:rFonts w:ascii="Helvetica" w:hAnsi="Helvetica" w:cs="Arial"/>
          <w:b/>
          <w:sz w:val="20"/>
          <w:szCs w:val="20"/>
        </w:rPr>
      </w:pPr>
      <w:r w:rsidRPr="00C77F4E">
        <w:rPr>
          <w:rFonts w:ascii="Helvetica" w:hAnsi="Helvetica" w:cs="Arial"/>
          <w:b/>
          <w:sz w:val="20"/>
          <w:szCs w:val="20"/>
        </w:rPr>
        <w:t>I.1.6.B. Curricular Assessment and Development</w:t>
      </w:r>
    </w:p>
    <w:p w14:paraId="08A617FB" w14:textId="77777777" w:rsidR="00053CC2" w:rsidRPr="00C77F4E" w:rsidRDefault="00053CC2" w:rsidP="00053CC2">
      <w:pPr>
        <w:widowControl w:val="0"/>
        <w:numPr>
          <w:ilvl w:val="0"/>
          <w:numId w:val="7"/>
        </w:numPr>
        <w:tabs>
          <w:tab w:val="left" w:pos="-1080"/>
          <w:tab w:val="left" w:pos="-720"/>
        </w:tabs>
        <w:autoSpaceDE w:val="0"/>
        <w:autoSpaceDN w:val="0"/>
        <w:adjustRightInd w:val="0"/>
        <w:spacing w:after="120" w:line="240" w:lineRule="auto"/>
        <w:ind w:left="270" w:hanging="270"/>
        <w:rPr>
          <w:rFonts w:ascii="Helvetica" w:hAnsi="Helvetica" w:cs="Arial"/>
          <w:i/>
          <w:sz w:val="20"/>
          <w:szCs w:val="20"/>
        </w:rPr>
      </w:pPr>
      <w:r w:rsidRPr="00C77F4E">
        <w:rPr>
          <w:rFonts w:ascii="Helvetica" w:hAnsi="Helvetica" w:cs="Arial"/>
          <w:i/>
          <w:sz w:val="20"/>
          <w:szCs w:val="20"/>
        </w:rPr>
        <w:t>A chart identifying all the parties in the curricular assessment process, their membership (if necessary), and the roles and responsibilities of each.</w:t>
      </w:r>
    </w:p>
    <w:p w14:paraId="66F2C013" w14:textId="77777777" w:rsidR="001733FF" w:rsidRPr="00C77F4E" w:rsidRDefault="001733FF" w:rsidP="002F5349">
      <w:pPr>
        <w:widowControl w:val="0"/>
        <w:numPr>
          <w:ilvl w:val="0"/>
          <w:numId w:val="7"/>
        </w:numPr>
        <w:tabs>
          <w:tab w:val="left" w:pos="-1080"/>
          <w:tab w:val="left" w:pos="-720"/>
        </w:tabs>
        <w:autoSpaceDE w:val="0"/>
        <w:autoSpaceDN w:val="0"/>
        <w:adjustRightInd w:val="0"/>
        <w:spacing w:after="120" w:line="240" w:lineRule="auto"/>
        <w:ind w:left="270" w:hanging="270"/>
        <w:rPr>
          <w:rFonts w:ascii="Helvetica" w:hAnsi="Helvetica" w:cs="Arial"/>
          <w:i/>
          <w:sz w:val="20"/>
          <w:szCs w:val="20"/>
        </w:rPr>
      </w:pPr>
      <w:r w:rsidRPr="00C77F4E">
        <w:rPr>
          <w:rFonts w:ascii="Helvetica" w:hAnsi="Helvetica" w:cs="Arial"/>
          <w:i/>
          <w:sz w:val="20"/>
          <w:szCs w:val="20"/>
        </w:rPr>
        <w:t>A description of the results of faculty, students’, and graduates’ assessments of the accredited degree program’s curriculum and learning context</w:t>
      </w:r>
      <w:r w:rsidRPr="00C77F4E">
        <w:rPr>
          <w:rFonts w:ascii="Helvetica" w:hAnsi="Helvetica" w:cs="Arial"/>
          <w:i/>
          <w:iCs/>
          <w:sz w:val="20"/>
          <w:szCs w:val="20"/>
        </w:rPr>
        <w:t>.</w:t>
      </w:r>
    </w:p>
    <w:p w14:paraId="1523D0D0" w14:textId="77777777" w:rsidR="001733FF" w:rsidRPr="00C77F4E" w:rsidRDefault="001733FF" w:rsidP="00FC7A43">
      <w:pPr>
        <w:pStyle w:val="Heading2"/>
        <w:spacing w:before="0" w:after="120" w:line="240" w:lineRule="auto"/>
        <w:rPr>
          <w:rFonts w:ascii="Helvetica" w:hAnsi="Helvetica" w:cs="Arial"/>
          <w:i w:val="0"/>
          <w:sz w:val="20"/>
          <w:szCs w:val="20"/>
        </w:rPr>
      </w:pPr>
      <w:bookmarkStart w:id="25" w:name="_Toc462758524"/>
      <w:r w:rsidRPr="00C77F4E">
        <w:rPr>
          <w:rFonts w:ascii="Helvetica" w:hAnsi="Helvetica" w:cs="Arial"/>
          <w:i w:val="0"/>
          <w:sz w:val="20"/>
          <w:szCs w:val="20"/>
        </w:rPr>
        <w:t>APR – Section 2 – Progress</w:t>
      </w:r>
      <w:r w:rsidR="007C389D" w:rsidRPr="00C77F4E">
        <w:rPr>
          <w:rFonts w:ascii="Helvetica" w:hAnsi="Helvetica" w:cs="Arial"/>
          <w:i w:val="0"/>
          <w:sz w:val="20"/>
          <w:szCs w:val="20"/>
        </w:rPr>
        <w:t xml:space="preserve"> </w:t>
      </w:r>
      <w:proofErr w:type="gramStart"/>
      <w:r w:rsidR="007C389D" w:rsidRPr="00C77F4E">
        <w:rPr>
          <w:rFonts w:ascii="Helvetica" w:hAnsi="Helvetica" w:cs="Arial"/>
          <w:i w:val="0"/>
          <w:sz w:val="20"/>
          <w:szCs w:val="20"/>
        </w:rPr>
        <w:t>Since</w:t>
      </w:r>
      <w:proofErr w:type="gramEnd"/>
      <w:r w:rsidRPr="00C77F4E">
        <w:rPr>
          <w:rFonts w:ascii="Helvetica" w:hAnsi="Helvetica" w:cs="Arial"/>
          <w:i w:val="0"/>
          <w:sz w:val="20"/>
          <w:szCs w:val="20"/>
        </w:rPr>
        <w:t xml:space="preserve"> the Previous Visit</w:t>
      </w:r>
      <w:bookmarkEnd w:id="25"/>
    </w:p>
    <w:p w14:paraId="1A0E6D18" w14:textId="77777777" w:rsidR="001733FF" w:rsidRPr="00C77F4E" w:rsidRDefault="001733FF" w:rsidP="006645FB">
      <w:pPr>
        <w:autoSpaceDE w:val="0"/>
        <w:autoSpaceDN w:val="0"/>
        <w:adjustRightInd w:val="0"/>
        <w:spacing w:after="120" w:line="240" w:lineRule="auto"/>
        <w:rPr>
          <w:rFonts w:ascii="Helvetica" w:hAnsi="Helvetica" w:cs="Arial"/>
          <w:sz w:val="20"/>
          <w:szCs w:val="20"/>
        </w:rPr>
      </w:pPr>
      <w:r w:rsidRPr="00C77F4E">
        <w:rPr>
          <w:rFonts w:ascii="Helvetica" w:hAnsi="Helvetica" w:cs="Arial"/>
          <w:sz w:val="20"/>
          <w:szCs w:val="20"/>
        </w:rPr>
        <w:t>In this section the program must document all actions taken since the previous visit to address Conditions Not Met and Causes of Concern cited in the most recent VTR.</w:t>
      </w:r>
    </w:p>
    <w:p w14:paraId="5EB41C44" w14:textId="3D604D52" w:rsidR="001733FF" w:rsidRPr="00C77F4E" w:rsidRDefault="001733FF" w:rsidP="00F22B4D">
      <w:pPr>
        <w:autoSpaceDE w:val="0"/>
        <w:autoSpaceDN w:val="0"/>
        <w:adjustRightInd w:val="0"/>
        <w:spacing w:after="120" w:line="240" w:lineRule="auto"/>
        <w:rPr>
          <w:rFonts w:ascii="Helvetica" w:hAnsi="Helvetica" w:cs="Arial"/>
          <w:sz w:val="20"/>
          <w:szCs w:val="20"/>
        </w:rPr>
      </w:pPr>
      <w:r w:rsidRPr="00C77F4E">
        <w:rPr>
          <w:rFonts w:ascii="Helvetica" w:hAnsi="Helvetica" w:cs="Arial"/>
          <w:sz w:val="20"/>
          <w:szCs w:val="20"/>
        </w:rPr>
        <w:t xml:space="preserve">The APR must include the </w:t>
      </w:r>
      <w:r w:rsidR="00F22B4D" w:rsidRPr="00C77F4E">
        <w:rPr>
          <w:rFonts w:ascii="Helvetica" w:hAnsi="Helvetica" w:cs="Arial"/>
          <w:sz w:val="20"/>
          <w:szCs w:val="20"/>
        </w:rPr>
        <w:t xml:space="preserve">title of the </w:t>
      </w:r>
      <w:r w:rsidR="00F22B4D" w:rsidRPr="00C77F4E">
        <w:rPr>
          <w:rFonts w:ascii="Helvetica" w:hAnsi="Helvetica" w:cs="Arial"/>
          <w:i/>
          <w:sz w:val="20"/>
          <w:szCs w:val="20"/>
        </w:rPr>
        <w:t xml:space="preserve">Condition, </w:t>
      </w:r>
      <w:r w:rsidR="00F22B4D" w:rsidRPr="00C77F4E">
        <w:rPr>
          <w:rFonts w:ascii="Helvetica" w:hAnsi="Helvetica" w:cs="Arial"/>
          <w:sz w:val="20"/>
          <w:szCs w:val="20"/>
        </w:rPr>
        <w:t xml:space="preserve">the </w:t>
      </w:r>
      <w:r w:rsidRPr="00C77F4E">
        <w:rPr>
          <w:rFonts w:ascii="Helvetica" w:hAnsi="Helvetica" w:cs="Arial"/>
          <w:b/>
          <w:sz w:val="20"/>
          <w:szCs w:val="20"/>
        </w:rPr>
        <w:t>exact</w:t>
      </w:r>
      <w:r w:rsidRPr="00C77F4E">
        <w:rPr>
          <w:rFonts w:ascii="Helvetica" w:hAnsi="Helvetica" w:cs="Arial"/>
          <w:sz w:val="20"/>
          <w:szCs w:val="20"/>
        </w:rPr>
        <w:t xml:space="preserve"> text quoted from the previous VTR, as well as the summary of activities. The format is specified in the template. </w:t>
      </w:r>
    </w:p>
    <w:p w14:paraId="1DD8C2A4" w14:textId="58D2B3AA" w:rsidR="006645FB" w:rsidRPr="00C77F4E" w:rsidRDefault="006645FB" w:rsidP="006645FB">
      <w:pPr>
        <w:autoSpaceDE w:val="0"/>
        <w:autoSpaceDN w:val="0"/>
        <w:adjustRightInd w:val="0"/>
        <w:spacing w:after="120" w:line="240" w:lineRule="auto"/>
        <w:rPr>
          <w:rFonts w:ascii="Helvetica" w:hAnsi="Helvetica" w:cs="Arial"/>
          <w:sz w:val="20"/>
          <w:szCs w:val="20"/>
        </w:rPr>
      </w:pPr>
      <w:r w:rsidRPr="00C77F4E">
        <w:rPr>
          <w:rFonts w:ascii="Helvetica" w:hAnsi="Helvetica" w:cs="Arial"/>
          <w:sz w:val="20"/>
          <w:szCs w:val="20"/>
        </w:rPr>
        <w:t xml:space="preserve">Further, if the </w:t>
      </w:r>
      <w:r w:rsidRPr="00C77F4E">
        <w:rPr>
          <w:rFonts w:ascii="Helvetica" w:hAnsi="Helvetica" w:cs="Arial"/>
          <w:i/>
          <w:sz w:val="20"/>
          <w:szCs w:val="20"/>
        </w:rPr>
        <w:t>Conditions</w:t>
      </w:r>
      <w:r w:rsidRPr="00C77F4E">
        <w:rPr>
          <w:rFonts w:ascii="Helvetica" w:hAnsi="Helvetica" w:cs="Arial"/>
          <w:sz w:val="20"/>
          <w:szCs w:val="20"/>
        </w:rPr>
        <w:t xml:space="preserve"> have changed since the previous visit, the APR must include a brief description of changes made to the program as a result of changes in the </w:t>
      </w:r>
      <w:r w:rsidRPr="00C77F4E">
        <w:rPr>
          <w:rFonts w:ascii="Helvetica" w:hAnsi="Helvetica" w:cs="Arial"/>
          <w:i/>
          <w:sz w:val="20"/>
          <w:szCs w:val="20"/>
        </w:rPr>
        <w:t>Conditions.</w:t>
      </w:r>
    </w:p>
    <w:p w14:paraId="32830ACC" w14:textId="603DFF35" w:rsidR="00F22B4D" w:rsidRPr="00C77F4E" w:rsidRDefault="00F22B4D" w:rsidP="006645FB">
      <w:pPr>
        <w:autoSpaceDE w:val="0"/>
        <w:autoSpaceDN w:val="0"/>
        <w:adjustRightInd w:val="0"/>
        <w:spacing w:after="120" w:line="240" w:lineRule="auto"/>
        <w:rPr>
          <w:rFonts w:ascii="Helvetica" w:hAnsi="Helvetica" w:cs="Arial"/>
          <w:sz w:val="20"/>
          <w:szCs w:val="20"/>
        </w:rPr>
      </w:pPr>
      <w:r w:rsidRPr="00C77F4E">
        <w:rPr>
          <w:rFonts w:ascii="Helvetica" w:hAnsi="Helvetica" w:cs="Arial"/>
          <w:sz w:val="20"/>
          <w:szCs w:val="20"/>
        </w:rPr>
        <w:t>This section is limited to 5 pages, total</w:t>
      </w:r>
    </w:p>
    <w:p w14:paraId="3EAD4DB2" w14:textId="77777777" w:rsidR="001733FF" w:rsidRPr="00C77F4E" w:rsidRDefault="001733FF" w:rsidP="003B1184">
      <w:pPr>
        <w:pStyle w:val="Heading2"/>
        <w:spacing w:before="0" w:after="120" w:line="240" w:lineRule="auto"/>
        <w:rPr>
          <w:rFonts w:ascii="Helvetica" w:hAnsi="Helvetica" w:cs="Arial"/>
          <w:i w:val="0"/>
          <w:sz w:val="20"/>
          <w:szCs w:val="20"/>
        </w:rPr>
      </w:pPr>
      <w:bookmarkStart w:id="26" w:name="_Toc462758525"/>
      <w:r w:rsidRPr="00C77F4E">
        <w:rPr>
          <w:rFonts w:ascii="Helvetica" w:hAnsi="Helvetica" w:cs="Arial"/>
          <w:i w:val="0"/>
          <w:sz w:val="20"/>
          <w:szCs w:val="20"/>
        </w:rPr>
        <w:t>APR – Section 3 – Compliance with the Conditions for Accreditation</w:t>
      </w:r>
      <w:bookmarkEnd w:id="26"/>
    </w:p>
    <w:p w14:paraId="198A7C35" w14:textId="284509A8" w:rsidR="001733FF" w:rsidRPr="00C77F4E" w:rsidRDefault="001733FF" w:rsidP="002F5349">
      <w:pPr>
        <w:autoSpaceDE w:val="0"/>
        <w:autoSpaceDN w:val="0"/>
        <w:adjustRightInd w:val="0"/>
        <w:spacing w:after="120" w:line="240" w:lineRule="auto"/>
        <w:rPr>
          <w:rFonts w:ascii="Helvetica" w:hAnsi="Helvetica" w:cs="Arial"/>
          <w:sz w:val="20"/>
          <w:szCs w:val="20"/>
        </w:rPr>
      </w:pPr>
      <w:r w:rsidRPr="00C77F4E">
        <w:rPr>
          <w:rFonts w:ascii="Helvetica" w:hAnsi="Helvetica" w:cs="Arial"/>
          <w:sz w:val="20"/>
          <w:szCs w:val="20"/>
        </w:rPr>
        <w:t xml:space="preserve">In this </w:t>
      </w:r>
      <w:r w:rsidR="00E06CF6" w:rsidRPr="00C77F4E">
        <w:rPr>
          <w:rFonts w:ascii="Helvetica" w:hAnsi="Helvetica" w:cs="Arial"/>
          <w:sz w:val="20"/>
          <w:szCs w:val="20"/>
        </w:rPr>
        <w:t xml:space="preserve">section </w:t>
      </w:r>
      <w:r w:rsidRPr="00C77F4E">
        <w:rPr>
          <w:rFonts w:ascii="Helvetica" w:hAnsi="Helvetica" w:cs="Arial"/>
          <w:sz w:val="20"/>
          <w:szCs w:val="20"/>
        </w:rPr>
        <w:t xml:space="preserve">of the APR, the program must describe how it meets the conditions for accreditation found in Part I.2-Part II.4. These conditions will be assessed and evaluated by the team </w:t>
      </w:r>
      <w:r w:rsidR="009A0655" w:rsidRPr="00C77F4E">
        <w:rPr>
          <w:rFonts w:ascii="Helvetica" w:hAnsi="Helvetica" w:cs="Arial"/>
          <w:sz w:val="20"/>
          <w:szCs w:val="20"/>
        </w:rPr>
        <w:t xml:space="preserve">in advance of and </w:t>
      </w:r>
      <w:r w:rsidRPr="00C77F4E">
        <w:rPr>
          <w:rFonts w:ascii="Helvetica" w:hAnsi="Helvetica" w:cs="Arial"/>
          <w:sz w:val="20"/>
          <w:szCs w:val="20"/>
        </w:rPr>
        <w:t>during a visit. The team’s findings and assessments will form the core of the Visiting Team Report.</w:t>
      </w:r>
    </w:p>
    <w:p w14:paraId="70CBCF39" w14:textId="77777777" w:rsidR="009A0655" w:rsidRPr="00C77F4E" w:rsidRDefault="009A0655" w:rsidP="002F5349">
      <w:pPr>
        <w:autoSpaceDE w:val="0"/>
        <w:autoSpaceDN w:val="0"/>
        <w:adjustRightInd w:val="0"/>
        <w:spacing w:after="120" w:line="240" w:lineRule="auto"/>
        <w:rPr>
          <w:rFonts w:ascii="Helvetica" w:hAnsi="Helvetica" w:cs="Arial"/>
          <w:sz w:val="20"/>
          <w:szCs w:val="20"/>
        </w:rPr>
      </w:pPr>
      <w:r w:rsidRPr="00C77F4E">
        <w:rPr>
          <w:rFonts w:ascii="Helvetica" w:hAnsi="Helvetica" w:cs="Arial"/>
          <w:sz w:val="20"/>
          <w:szCs w:val="20"/>
        </w:rPr>
        <w:t>Many of the reports, tables, or graphics requested as part of the APR may be provided as links to documents or materials stored in easily accessible digital formats or portals (e.g., Dropbox). Many of these materials will be reviewed by the team in advance of the visit.</w:t>
      </w:r>
    </w:p>
    <w:p w14:paraId="55D9B2F8" w14:textId="77777777" w:rsidR="001733FF" w:rsidRPr="00C77F4E" w:rsidRDefault="001733FF" w:rsidP="002F5349">
      <w:pPr>
        <w:pStyle w:val="Heading2"/>
        <w:spacing w:before="0" w:after="120" w:line="240" w:lineRule="auto"/>
        <w:rPr>
          <w:rFonts w:ascii="Helvetica" w:hAnsi="Helvetica" w:cs="Arial"/>
          <w:b w:val="0"/>
          <w:i w:val="0"/>
          <w:sz w:val="20"/>
          <w:szCs w:val="20"/>
        </w:rPr>
      </w:pPr>
      <w:bookmarkStart w:id="27" w:name="_Toc358370822"/>
      <w:bookmarkStart w:id="28" w:name="_Toc462758526"/>
      <w:r w:rsidRPr="00C77F4E">
        <w:rPr>
          <w:rFonts w:ascii="Helvetica" w:hAnsi="Helvetica" w:cs="Arial"/>
          <w:i w:val="0"/>
          <w:sz w:val="20"/>
          <w:szCs w:val="20"/>
        </w:rPr>
        <w:t>I.2.1 Human Resources &amp; Human Resource Development</w:t>
      </w:r>
      <w:r w:rsidRPr="00C77F4E">
        <w:rPr>
          <w:rFonts w:ascii="Helvetica" w:hAnsi="Helvetica" w:cs="Arial"/>
          <w:b w:val="0"/>
          <w:i w:val="0"/>
          <w:sz w:val="20"/>
          <w:szCs w:val="20"/>
        </w:rPr>
        <w:t>:</w:t>
      </w:r>
      <w:bookmarkEnd w:id="27"/>
      <w:bookmarkEnd w:id="28"/>
      <w:r w:rsidRPr="00C77F4E">
        <w:rPr>
          <w:rFonts w:ascii="Helvetica" w:hAnsi="Helvetica" w:cs="Arial"/>
          <w:b w:val="0"/>
          <w:i w:val="0"/>
          <w:sz w:val="20"/>
          <w:szCs w:val="20"/>
        </w:rPr>
        <w:t xml:space="preserve"> </w:t>
      </w:r>
    </w:p>
    <w:p w14:paraId="1BB3B847" w14:textId="77777777" w:rsidR="001733FF" w:rsidRPr="00C77F4E" w:rsidRDefault="001733FF" w:rsidP="002F5349">
      <w:pPr>
        <w:spacing w:after="120" w:line="240" w:lineRule="auto"/>
        <w:rPr>
          <w:rFonts w:ascii="Helvetica" w:hAnsi="Helvetica" w:cs="Arial"/>
          <w:i/>
          <w:sz w:val="20"/>
          <w:szCs w:val="20"/>
        </w:rPr>
      </w:pPr>
      <w:r w:rsidRPr="00C77F4E">
        <w:rPr>
          <w:rFonts w:ascii="Helvetica" w:hAnsi="Helvetica" w:cs="Arial"/>
          <w:i/>
          <w:sz w:val="20"/>
          <w:szCs w:val="20"/>
        </w:rPr>
        <w:t xml:space="preserve">The APR must include the following </w:t>
      </w:r>
    </w:p>
    <w:p w14:paraId="2DEE76EF" w14:textId="1547043E" w:rsidR="00E56215" w:rsidRPr="00C77F4E" w:rsidRDefault="00E56215" w:rsidP="009F36C5">
      <w:pPr>
        <w:numPr>
          <w:ilvl w:val="0"/>
          <w:numId w:val="21"/>
        </w:numPr>
        <w:spacing w:after="120" w:line="240" w:lineRule="auto"/>
        <w:ind w:left="360"/>
        <w:rPr>
          <w:rFonts w:ascii="Helvetica" w:hAnsi="Helvetica" w:cs="Arial"/>
          <w:b/>
          <w:i/>
          <w:sz w:val="20"/>
          <w:szCs w:val="20"/>
        </w:rPr>
      </w:pPr>
      <w:r w:rsidRPr="00C77F4E">
        <w:rPr>
          <w:rFonts w:ascii="Helvetica" w:hAnsi="Helvetica" w:cs="Arial"/>
          <w:i/>
          <w:sz w:val="20"/>
          <w:szCs w:val="20"/>
        </w:rPr>
        <w:t>A link to faculty resumes</w:t>
      </w:r>
      <w:r w:rsidR="00E11B21" w:rsidRPr="00C77F4E">
        <w:rPr>
          <w:rFonts w:ascii="Helvetica" w:hAnsi="Helvetica" w:cs="Arial"/>
          <w:i/>
          <w:sz w:val="20"/>
          <w:szCs w:val="20"/>
        </w:rPr>
        <w:t xml:space="preserve"> and the faculty credentials matrix (see below)</w:t>
      </w:r>
    </w:p>
    <w:p w14:paraId="391490BE" w14:textId="6DF0AB77" w:rsidR="001733FF" w:rsidRPr="00C77F4E" w:rsidRDefault="001733FF" w:rsidP="009F36C5">
      <w:pPr>
        <w:numPr>
          <w:ilvl w:val="0"/>
          <w:numId w:val="21"/>
        </w:numPr>
        <w:spacing w:after="120" w:line="240" w:lineRule="auto"/>
        <w:ind w:left="360"/>
        <w:rPr>
          <w:rFonts w:ascii="Helvetica" w:hAnsi="Helvetica" w:cs="Arial"/>
          <w:b/>
          <w:i/>
          <w:sz w:val="20"/>
          <w:szCs w:val="20"/>
        </w:rPr>
      </w:pPr>
      <w:r w:rsidRPr="00C77F4E">
        <w:rPr>
          <w:rFonts w:ascii="Helvetica" w:hAnsi="Helvetica" w:cs="Arial"/>
          <w:i/>
          <w:color w:val="000000"/>
          <w:sz w:val="20"/>
          <w:szCs w:val="20"/>
        </w:rPr>
        <w:t xml:space="preserve">A description of the manner in which faculty members remain current in their knowledge of the changing demands of </w:t>
      </w:r>
      <w:r w:rsidR="005055B0" w:rsidRPr="00C77F4E">
        <w:rPr>
          <w:rFonts w:ascii="Helvetica" w:hAnsi="Helvetica" w:cs="Arial"/>
          <w:i/>
          <w:color w:val="000000"/>
          <w:sz w:val="20"/>
          <w:szCs w:val="20"/>
        </w:rPr>
        <w:t xml:space="preserve">the discipline, </w:t>
      </w:r>
      <w:r w:rsidRPr="00C77F4E">
        <w:rPr>
          <w:rFonts w:ascii="Helvetica" w:hAnsi="Helvetica" w:cs="Arial"/>
          <w:i/>
          <w:color w:val="000000"/>
          <w:sz w:val="20"/>
          <w:szCs w:val="20"/>
        </w:rPr>
        <w:t>practice and licensure.</w:t>
      </w:r>
    </w:p>
    <w:p w14:paraId="6501905A" w14:textId="77777777" w:rsidR="001733FF" w:rsidRPr="00C77F4E" w:rsidRDefault="001733FF" w:rsidP="009F36C5">
      <w:pPr>
        <w:numPr>
          <w:ilvl w:val="0"/>
          <w:numId w:val="21"/>
        </w:numPr>
        <w:spacing w:after="120" w:line="240" w:lineRule="auto"/>
        <w:ind w:left="360"/>
        <w:rPr>
          <w:rFonts w:ascii="Helvetica" w:hAnsi="Helvetica" w:cs="Arial"/>
          <w:b/>
          <w:i/>
          <w:sz w:val="20"/>
          <w:szCs w:val="20"/>
        </w:rPr>
      </w:pPr>
      <w:r w:rsidRPr="00C77F4E">
        <w:rPr>
          <w:rFonts w:ascii="Helvetica" w:hAnsi="Helvetica" w:cs="Arial"/>
          <w:i/>
          <w:sz w:val="20"/>
          <w:szCs w:val="20"/>
        </w:rPr>
        <w:t>A description of the resources (including financial) available to faculty and the extent to which faculty teaching in the program are able to take advantage of these resources.</w:t>
      </w:r>
    </w:p>
    <w:p w14:paraId="080BC9E7" w14:textId="77777777" w:rsidR="001733FF" w:rsidRPr="00C77F4E" w:rsidRDefault="001733FF" w:rsidP="009F36C5">
      <w:pPr>
        <w:numPr>
          <w:ilvl w:val="0"/>
          <w:numId w:val="21"/>
        </w:numPr>
        <w:spacing w:after="120" w:line="240" w:lineRule="auto"/>
        <w:ind w:left="360"/>
        <w:rPr>
          <w:rFonts w:ascii="Helvetica" w:hAnsi="Helvetica" w:cs="Arial"/>
          <w:b/>
          <w:i/>
          <w:sz w:val="20"/>
          <w:szCs w:val="20"/>
        </w:rPr>
      </w:pPr>
      <w:r w:rsidRPr="00C77F4E">
        <w:rPr>
          <w:rFonts w:ascii="Helvetica" w:hAnsi="Helvetica" w:cs="Arial"/>
          <w:i/>
          <w:sz w:val="20"/>
          <w:szCs w:val="20"/>
        </w:rPr>
        <w:t xml:space="preserve">A </w:t>
      </w:r>
      <w:r w:rsidR="00196B20" w:rsidRPr="00C77F4E">
        <w:rPr>
          <w:rFonts w:ascii="Helvetica" w:hAnsi="Helvetica" w:cs="Arial"/>
          <w:i/>
          <w:sz w:val="20"/>
          <w:szCs w:val="20"/>
        </w:rPr>
        <w:t xml:space="preserve">list of </w:t>
      </w:r>
      <w:r w:rsidRPr="00C77F4E">
        <w:rPr>
          <w:rFonts w:ascii="Helvetica" w:hAnsi="Helvetica" w:cs="Arial"/>
          <w:i/>
          <w:sz w:val="20"/>
          <w:szCs w:val="20"/>
        </w:rPr>
        <w:t xml:space="preserve">past and projected </w:t>
      </w:r>
      <w:r w:rsidR="00196B20" w:rsidRPr="00C77F4E">
        <w:rPr>
          <w:rFonts w:ascii="Helvetica" w:hAnsi="Helvetica" w:cs="Arial"/>
          <w:i/>
          <w:sz w:val="20"/>
          <w:szCs w:val="20"/>
        </w:rPr>
        <w:t>faculty research (funded or otherwise), scholarship, creative activities</w:t>
      </w:r>
      <w:r w:rsidRPr="00C77F4E">
        <w:rPr>
          <w:rFonts w:ascii="Helvetica" w:hAnsi="Helvetica" w:cs="Arial"/>
          <w:i/>
          <w:sz w:val="20"/>
          <w:szCs w:val="20"/>
        </w:rPr>
        <w:t xml:space="preserve"> by </w:t>
      </w:r>
      <w:r w:rsidR="00196B20" w:rsidRPr="00C77F4E">
        <w:rPr>
          <w:rFonts w:ascii="Helvetica" w:hAnsi="Helvetica" w:cs="Arial"/>
          <w:i/>
          <w:sz w:val="20"/>
          <w:szCs w:val="20"/>
        </w:rPr>
        <w:t>full-time instructional faculty since the previous visit.</w:t>
      </w:r>
    </w:p>
    <w:p w14:paraId="474D6A66" w14:textId="77777777" w:rsidR="001733FF" w:rsidRPr="00C77F4E" w:rsidRDefault="001733FF" w:rsidP="009F36C5">
      <w:pPr>
        <w:numPr>
          <w:ilvl w:val="0"/>
          <w:numId w:val="21"/>
        </w:numPr>
        <w:spacing w:after="120" w:line="240" w:lineRule="auto"/>
        <w:ind w:left="360"/>
        <w:rPr>
          <w:rFonts w:ascii="Helvetica" w:hAnsi="Helvetica" w:cs="Arial"/>
          <w:b/>
          <w:sz w:val="20"/>
          <w:szCs w:val="20"/>
        </w:rPr>
      </w:pPr>
      <w:r w:rsidRPr="00C77F4E">
        <w:rPr>
          <w:rFonts w:ascii="Helvetica" w:hAnsi="Helvetica" w:cs="Arial"/>
          <w:i/>
          <w:sz w:val="20"/>
          <w:szCs w:val="20"/>
        </w:rPr>
        <w:t>A description of student support services, including academic and personal advising, career guidance, and internship placement where applicable</w:t>
      </w:r>
      <w:r w:rsidRPr="00C77F4E">
        <w:rPr>
          <w:rFonts w:ascii="Helvetica" w:hAnsi="Helvetica" w:cs="Arial"/>
          <w:sz w:val="20"/>
          <w:szCs w:val="20"/>
        </w:rPr>
        <w:t>.</w:t>
      </w:r>
    </w:p>
    <w:p w14:paraId="44EEE6B9" w14:textId="7E953C67" w:rsidR="005055B0" w:rsidRPr="00C77F4E" w:rsidRDefault="005055B0" w:rsidP="009F36C5">
      <w:pPr>
        <w:numPr>
          <w:ilvl w:val="0"/>
          <w:numId w:val="21"/>
        </w:numPr>
        <w:spacing w:after="120" w:line="240" w:lineRule="auto"/>
        <w:ind w:left="360"/>
        <w:rPr>
          <w:rFonts w:ascii="Helvetica" w:hAnsi="Helvetica" w:cs="Arial"/>
          <w:b/>
          <w:sz w:val="20"/>
          <w:szCs w:val="20"/>
        </w:rPr>
      </w:pPr>
      <w:r w:rsidRPr="00C77F4E">
        <w:rPr>
          <w:rFonts w:ascii="Helvetica" w:hAnsi="Helvetica" w:cs="Arial"/>
          <w:i/>
          <w:sz w:val="20"/>
          <w:szCs w:val="20"/>
        </w:rPr>
        <w:t>The name of the Architect Licensing Advisor (formerly the IDP Coordinator) and a summary of his/her recent activities, including professional development, in support of his/her responsibilities.</w:t>
      </w:r>
    </w:p>
    <w:p w14:paraId="49C85E64" w14:textId="6B467961" w:rsidR="00E56215" w:rsidRPr="00C77F4E" w:rsidRDefault="00E56215" w:rsidP="009F36C5">
      <w:pPr>
        <w:numPr>
          <w:ilvl w:val="0"/>
          <w:numId w:val="21"/>
        </w:numPr>
        <w:spacing w:after="120" w:line="240" w:lineRule="auto"/>
        <w:ind w:left="360"/>
        <w:rPr>
          <w:rFonts w:ascii="Helvetica" w:hAnsi="Helvetica" w:cs="Arial"/>
          <w:b/>
          <w:sz w:val="20"/>
          <w:szCs w:val="20"/>
        </w:rPr>
      </w:pPr>
      <w:r w:rsidRPr="00C77F4E">
        <w:rPr>
          <w:rFonts w:ascii="Helvetica" w:hAnsi="Helvetica" w:cs="Arial"/>
          <w:i/>
          <w:sz w:val="20"/>
          <w:szCs w:val="20"/>
        </w:rPr>
        <w:t>In the supplemental materials please include the following:</w:t>
      </w:r>
    </w:p>
    <w:p w14:paraId="09AB7EE5" w14:textId="77777777" w:rsidR="00E56215" w:rsidRPr="00C77F4E" w:rsidRDefault="00E56215" w:rsidP="009F36C5">
      <w:pPr>
        <w:numPr>
          <w:ilvl w:val="0"/>
          <w:numId w:val="21"/>
        </w:numPr>
        <w:spacing w:after="120" w:line="240" w:lineRule="auto"/>
        <w:rPr>
          <w:rFonts w:ascii="Helvetica" w:hAnsi="Helvetica" w:cs="Arial"/>
          <w:i/>
          <w:sz w:val="20"/>
          <w:szCs w:val="20"/>
        </w:rPr>
      </w:pPr>
      <w:r w:rsidRPr="00C77F4E">
        <w:rPr>
          <w:rFonts w:ascii="Helvetica" w:hAnsi="Helvetica" w:cs="Arial"/>
          <w:i/>
          <w:sz w:val="20"/>
          <w:szCs w:val="20"/>
        </w:rPr>
        <w:t xml:space="preserve">A resume, using the required template, for each full-time member of the instructional faculty who teaches in the professional degree program. </w:t>
      </w:r>
    </w:p>
    <w:p w14:paraId="132FC606" w14:textId="77777777" w:rsidR="00E56215" w:rsidRPr="00C77F4E" w:rsidRDefault="00E56215" w:rsidP="009F36C5">
      <w:pPr>
        <w:numPr>
          <w:ilvl w:val="0"/>
          <w:numId w:val="21"/>
        </w:numPr>
        <w:spacing w:after="120" w:line="240" w:lineRule="auto"/>
        <w:rPr>
          <w:rFonts w:ascii="Helvetica" w:hAnsi="Helvetica" w:cs="Arial"/>
          <w:b/>
          <w:i/>
          <w:sz w:val="20"/>
          <w:szCs w:val="20"/>
        </w:rPr>
      </w:pPr>
      <w:r w:rsidRPr="00C77F4E">
        <w:rPr>
          <w:rFonts w:ascii="Helvetica" w:hAnsi="Helvetica" w:cs="Arial"/>
          <w:i/>
          <w:sz w:val="20"/>
          <w:szCs w:val="20"/>
        </w:rPr>
        <w:t xml:space="preserve">A matrix for each of the two academic years prior to the preparation of the APR, that identifies each faculty member, including adjuncts, the courses he/she was assigned during that time and the specific credentials, experience, and research that supports these assignments. </w:t>
      </w:r>
    </w:p>
    <w:p w14:paraId="1BE2EA62" w14:textId="42FAE34A" w:rsidR="00E56215" w:rsidRPr="00C77F4E" w:rsidRDefault="00E56215" w:rsidP="009F36C5">
      <w:pPr>
        <w:numPr>
          <w:ilvl w:val="1"/>
          <w:numId w:val="21"/>
        </w:numPr>
        <w:spacing w:after="120" w:line="240" w:lineRule="auto"/>
        <w:rPr>
          <w:rFonts w:ascii="Helvetica" w:hAnsi="Helvetica" w:cs="Arial"/>
          <w:b/>
          <w:i/>
          <w:sz w:val="20"/>
          <w:szCs w:val="20"/>
        </w:rPr>
      </w:pPr>
      <w:r w:rsidRPr="00C77F4E">
        <w:rPr>
          <w:rFonts w:ascii="Helvetica" w:hAnsi="Helvetica" w:cs="Arial"/>
          <w:i/>
          <w:sz w:val="20"/>
          <w:szCs w:val="20"/>
        </w:rPr>
        <w:t xml:space="preserve">In the case of adjuncts or visiting professors, only those individuals who taught in the two academic years prior to the visit must be identified. (The required template is available on the NAAB </w:t>
      </w:r>
      <w:hyperlink r:id="rId12" w:history="1">
        <w:r w:rsidRPr="00C77F4E">
          <w:rPr>
            <w:rStyle w:val="Hyperlink"/>
            <w:rFonts w:ascii="Helvetica" w:hAnsi="Helvetica" w:cs="Arial"/>
            <w:i/>
            <w:sz w:val="20"/>
            <w:szCs w:val="20"/>
          </w:rPr>
          <w:t>website</w:t>
        </w:r>
      </w:hyperlink>
      <w:r w:rsidRPr="00C77F4E">
        <w:rPr>
          <w:rFonts w:ascii="Helvetica" w:hAnsi="Helvetica" w:cs="Arial"/>
          <w:i/>
          <w:sz w:val="20"/>
          <w:szCs w:val="20"/>
        </w:rPr>
        <w:t>). Also, the matrix must be updated for the current academic year showing the semester during which the visit takes place. This supplemental matrix should be available to the team 30 days in advance of the visit and also placed in the team room.</w:t>
      </w:r>
    </w:p>
    <w:p w14:paraId="7FF7AFD4" w14:textId="16C0F9B7" w:rsidR="001733FF" w:rsidRPr="00C77F4E" w:rsidRDefault="001733FF" w:rsidP="002F5349">
      <w:pPr>
        <w:pStyle w:val="Heading2"/>
        <w:spacing w:before="0" w:after="120" w:line="240" w:lineRule="auto"/>
        <w:rPr>
          <w:rFonts w:ascii="Helvetica" w:hAnsi="Helvetica" w:cs="Arial"/>
          <w:sz w:val="20"/>
          <w:szCs w:val="20"/>
        </w:rPr>
      </w:pPr>
      <w:bookmarkStart w:id="29" w:name="_Toc358370823"/>
      <w:bookmarkStart w:id="30" w:name="_Toc462758527"/>
      <w:r w:rsidRPr="00C77F4E">
        <w:rPr>
          <w:rFonts w:ascii="Helvetica" w:hAnsi="Helvetica" w:cs="Arial"/>
          <w:i w:val="0"/>
          <w:sz w:val="20"/>
          <w:szCs w:val="20"/>
        </w:rPr>
        <w:t>I.2.2 Physical Resources</w:t>
      </w:r>
      <w:r w:rsidR="007D05A8" w:rsidRPr="00C77F4E">
        <w:rPr>
          <w:rStyle w:val="FootnoteReference"/>
          <w:rFonts w:ascii="Helvetica" w:hAnsi="Helvetica" w:cs="Arial"/>
          <w:i w:val="0"/>
          <w:sz w:val="20"/>
          <w:szCs w:val="20"/>
        </w:rPr>
        <w:footnoteReference w:id="2"/>
      </w:r>
      <w:r w:rsidRPr="00C77F4E">
        <w:rPr>
          <w:rFonts w:ascii="Helvetica" w:hAnsi="Helvetica" w:cs="Arial"/>
          <w:b w:val="0"/>
          <w:i w:val="0"/>
          <w:sz w:val="20"/>
          <w:szCs w:val="20"/>
        </w:rPr>
        <w:t>:</w:t>
      </w:r>
      <w:bookmarkEnd w:id="29"/>
      <w:bookmarkEnd w:id="30"/>
    </w:p>
    <w:p w14:paraId="5C2163FB" w14:textId="77777777" w:rsidR="001733FF" w:rsidRPr="00C77F4E" w:rsidRDefault="001733FF" w:rsidP="002F5349">
      <w:pPr>
        <w:spacing w:after="120" w:line="240" w:lineRule="auto"/>
        <w:rPr>
          <w:rFonts w:ascii="Helvetica" w:hAnsi="Helvetica" w:cs="Arial"/>
          <w:i/>
          <w:color w:val="000000"/>
          <w:sz w:val="20"/>
          <w:szCs w:val="20"/>
        </w:rPr>
      </w:pPr>
      <w:r w:rsidRPr="00C77F4E">
        <w:rPr>
          <w:rFonts w:ascii="Helvetica" w:hAnsi="Helvetica" w:cs="Arial"/>
          <w:i/>
          <w:color w:val="000000"/>
          <w:sz w:val="20"/>
          <w:szCs w:val="20"/>
        </w:rPr>
        <w:t xml:space="preserve">For programs whose pedagogy requires physical resources, the </w:t>
      </w:r>
      <w:r w:rsidRPr="00C77F4E">
        <w:rPr>
          <w:rFonts w:ascii="Helvetica" w:hAnsi="Helvetica" w:cs="Arial"/>
          <w:i/>
          <w:iCs/>
          <w:color w:val="000000"/>
          <w:sz w:val="20"/>
          <w:szCs w:val="20"/>
        </w:rPr>
        <w:t xml:space="preserve">APR </w:t>
      </w:r>
      <w:r w:rsidRPr="00C77F4E">
        <w:rPr>
          <w:rFonts w:ascii="Helvetica" w:hAnsi="Helvetica" w:cs="Arial"/>
          <w:i/>
          <w:color w:val="000000"/>
          <w:sz w:val="20"/>
          <w:szCs w:val="20"/>
        </w:rPr>
        <w:t>must include the following:</w:t>
      </w:r>
    </w:p>
    <w:p w14:paraId="080579B7" w14:textId="5B192E39" w:rsidR="001733FF" w:rsidRPr="00C77F4E" w:rsidRDefault="00C77F4E" w:rsidP="002F5349">
      <w:pPr>
        <w:widowControl w:val="0"/>
        <w:numPr>
          <w:ilvl w:val="0"/>
          <w:numId w:val="12"/>
        </w:numPr>
        <w:tabs>
          <w:tab w:val="clear" w:pos="720"/>
          <w:tab w:val="left" w:pos="-1080"/>
          <w:tab w:val="left" w:pos="-720"/>
        </w:tabs>
        <w:autoSpaceDE w:val="0"/>
        <w:autoSpaceDN w:val="0"/>
        <w:adjustRightInd w:val="0"/>
        <w:spacing w:after="120" w:line="240" w:lineRule="auto"/>
        <w:ind w:left="270" w:hanging="270"/>
        <w:rPr>
          <w:rFonts w:ascii="Helvetica" w:hAnsi="Helvetica" w:cs="Arial"/>
          <w:i/>
          <w:color w:val="000000"/>
          <w:sz w:val="20"/>
          <w:szCs w:val="20"/>
        </w:rPr>
      </w:pPr>
      <w:r>
        <w:rPr>
          <w:rFonts w:ascii="Helvetica" w:hAnsi="Helvetica" w:cs="Arial"/>
          <w:i/>
          <w:color w:val="000000"/>
          <w:sz w:val="20"/>
          <w:szCs w:val="20"/>
        </w:rPr>
        <w:t xml:space="preserve">A general description </w:t>
      </w:r>
      <w:r w:rsidR="001733FF" w:rsidRPr="00C77F4E">
        <w:rPr>
          <w:rFonts w:ascii="Helvetica" w:hAnsi="Helvetica" w:cs="Arial"/>
          <w:i/>
          <w:color w:val="000000"/>
          <w:sz w:val="20"/>
          <w:szCs w:val="20"/>
        </w:rPr>
        <w:t xml:space="preserve">of the physical resources assigned to the program, including </w:t>
      </w:r>
      <w:r w:rsidR="00196B20" w:rsidRPr="00C77F4E">
        <w:rPr>
          <w:rFonts w:ascii="Helvetica" w:hAnsi="Helvetica" w:cs="Arial"/>
          <w:i/>
          <w:color w:val="000000"/>
          <w:sz w:val="20"/>
          <w:szCs w:val="20"/>
        </w:rPr>
        <w:t xml:space="preserve">all spaces used for teaching/learning, scholarship, and public interaction. </w:t>
      </w:r>
    </w:p>
    <w:p w14:paraId="551B19AD" w14:textId="77777777" w:rsidR="001733FF" w:rsidRPr="00C77F4E" w:rsidRDefault="001733FF" w:rsidP="002F5349">
      <w:pPr>
        <w:widowControl w:val="0"/>
        <w:numPr>
          <w:ilvl w:val="0"/>
          <w:numId w:val="12"/>
        </w:numPr>
        <w:tabs>
          <w:tab w:val="clear" w:pos="720"/>
          <w:tab w:val="left" w:pos="-1080"/>
          <w:tab w:val="left" w:pos="-720"/>
        </w:tabs>
        <w:autoSpaceDE w:val="0"/>
        <w:autoSpaceDN w:val="0"/>
        <w:adjustRightInd w:val="0"/>
        <w:spacing w:after="120" w:line="240" w:lineRule="auto"/>
        <w:ind w:left="270" w:hanging="270"/>
        <w:rPr>
          <w:rFonts w:ascii="Helvetica" w:hAnsi="Helvetica" w:cs="Arial"/>
          <w:i/>
          <w:color w:val="000000"/>
          <w:sz w:val="20"/>
          <w:szCs w:val="20"/>
        </w:rPr>
      </w:pPr>
      <w:r w:rsidRPr="00C77F4E">
        <w:rPr>
          <w:rFonts w:ascii="Helvetica" w:hAnsi="Helvetica" w:cs="Arial"/>
          <w:i/>
          <w:color w:val="000000"/>
          <w:sz w:val="20"/>
          <w:szCs w:val="20"/>
        </w:rPr>
        <w:t>A description of any ch</w:t>
      </w:r>
      <w:r w:rsidR="00196B20" w:rsidRPr="00C77F4E">
        <w:rPr>
          <w:rFonts w:ascii="Helvetica" w:hAnsi="Helvetica" w:cs="Arial"/>
          <w:i/>
          <w:color w:val="000000"/>
          <w:sz w:val="20"/>
          <w:szCs w:val="20"/>
        </w:rPr>
        <w:t>anges to the physical resources</w:t>
      </w:r>
      <w:r w:rsidRPr="00C77F4E">
        <w:rPr>
          <w:rFonts w:ascii="Helvetica" w:hAnsi="Helvetica" w:cs="Arial"/>
          <w:i/>
          <w:color w:val="000000"/>
          <w:sz w:val="20"/>
          <w:szCs w:val="20"/>
        </w:rPr>
        <w:t xml:space="preserve"> either under construction or proposed.</w:t>
      </w:r>
    </w:p>
    <w:p w14:paraId="7E3B93BD" w14:textId="77777777" w:rsidR="005055B0" w:rsidRPr="00C77F4E" w:rsidRDefault="001733FF" w:rsidP="005055B0">
      <w:pPr>
        <w:widowControl w:val="0"/>
        <w:numPr>
          <w:ilvl w:val="0"/>
          <w:numId w:val="12"/>
        </w:numPr>
        <w:tabs>
          <w:tab w:val="clear" w:pos="720"/>
          <w:tab w:val="left" w:pos="-1080"/>
          <w:tab w:val="left" w:pos="-720"/>
        </w:tabs>
        <w:autoSpaceDE w:val="0"/>
        <w:autoSpaceDN w:val="0"/>
        <w:adjustRightInd w:val="0"/>
        <w:spacing w:after="120" w:line="240" w:lineRule="auto"/>
        <w:ind w:left="270" w:hanging="270"/>
        <w:rPr>
          <w:rFonts w:ascii="Helvetica" w:hAnsi="Helvetica" w:cs="Arial"/>
          <w:i/>
          <w:color w:val="000000"/>
          <w:sz w:val="20"/>
          <w:szCs w:val="20"/>
        </w:rPr>
      </w:pPr>
      <w:r w:rsidRPr="00C77F4E">
        <w:rPr>
          <w:rFonts w:ascii="Helvetica" w:hAnsi="Helvetica" w:cs="Arial"/>
          <w:i/>
          <w:color w:val="000000"/>
          <w:sz w:val="20"/>
          <w:szCs w:val="20"/>
        </w:rPr>
        <w:t xml:space="preserve">Identification of any significant problem that impacts the operation or services, with a brief explanation of plans by the program or institution to address it. </w:t>
      </w:r>
    </w:p>
    <w:p w14:paraId="1546BE75" w14:textId="4E9FB3B8" w:rsidR="005055B0" w:rsidRPr="00C77F4E" w:rsidRDefault="005055B0" w:rsidP="005055B0">
      <w:pPr>
        <w:widowControl w:val="0"/>
        <w:numPr>
          <w:ilvl w:val="0"/>
          <w:numId w:val="12"/>
        </w:numPr>
        <w:tabs>
          <w:tab w:val="clear" w:pos="720"/>
          <w:tab w:val="left" w:pos="-1080"/>
          <w:tab w:val="left" w:pos="-720"/>
        </w:tabs>
        <w:autoSpaceDE w:val="0"/>
        <w:autoSpaceDN w:val="0"/>
        <w:adjustRightInd w:val="0"/>
        <w:spacing w:after="120" w:line="240" w:lineRule="auto"/>
        <w:ind w:left="270" w:hanging="270"/>
        <w:rPr>
          <w:rFonts w:ascii="Helvetica" w:hAnsi="Helvetica" w:cs="Arial"/>
          <w:i/>
          <w:color w:val="000000"/>
          <w:sz w:val="20"/>
          <w:szCs w:val="20"/>
        </w:rPr>
      </w:pPr>
      <w:r w:rsidRPr="00C77F4E">
        <w:rPr>
          <w:rFonts w:ascii="Helvetica" w:hAnsi="Helvetica" w:cs="Arial"/>
          <w:i/>
          <w:sz w:val="20"/>
          <w:szCs w:val="20"/>
        </w:rPr>
        <w:t>A description of how the program provides space for faculty to fulfill all four of their roles: teaching, scholarship, service, and advising.</w:t>
      </w:r>
    </w:p>
    <w:p w14:paraId="700F28B4" w14:textId="2BFFBC6C" w:rsidR="00C77F4E" w:rsidRPr="00C77F4E" w:rsidRDefault="00C77F4E" w:rsidP="005055B0">
      <w:pPr>
        <w:widowControl w:val="0"/>
        <w:numPr>
          <w:ilvl w:val="0"/>
          <w:numId w:val="12"/>
        </w:numPr>
        <w:tabs>
          <w:tab w:val="clear" w:pos="720"/>
          <w:tab w:val="left" w:pos="-1080"/>
          <w:tab w:val="left" w:pos="-720"/>
        </w:tabs>
        <w:autoSpaceDE w:val="0"/>
        <w:autoSpaceDN w:val="0"/>
        <w:adjustRightInd w:val="0"/>
        <w:spacing w:after="120" w:line="240" w:lineRule="auto"/>
        <w:ind w:left="270" w:hanging="270"/>
        <w:rPr>
          <w:rFonts w:ascii="Helvetica" w:hAnsi="Helvetica" w:cs="Arial"/>
          <w:i/>
          <w:color w:val="000000"/>
          <w:sz w:val="20"/>
          <w:szCs w:val="20"/>
        </w:rPr>
      </w:pPr>
      <w:r>
        <w:rPr>
          <w:rFonts w:ascii="Helvetica" w:hAnsi="Helvetica" w:cs="Arial"/>
          <w:i/>
          <w:sz w:val="20"/>
          <w:szCs w:val="20"/>
        </w:rPr>
        <w:t xml:space="preserve">Supplemental material: </w:t>
      </w:r>
      <w:r w:rsidRPr="00C77F4E">
        <w:rPr>
          <w:rFonts w:ascii="Helvetica" w:hAnsi="Helvetica" w:cs="Arial"/>
          <w:i/>
          <w:color w:val="000000"/>
          <w:sz w:val="20"/>
          <w:szCs w:val="20"/>
        </w:rPr>
        <w:t>plans or images</w:t>
      </w:r>
      <w:r>
        <w:rPr>
          <w:rFonts w:ascii="Helvetica" w:hAnsi="Helvetica" w:cs="Arial"/>
          <w:i/>
          <w:color w:val="000000"/>
          <w:sz w:val="20"/>
          <w:szCs w:val="20"/>
        </w:rPr>
        <w:t xml:space="preserve"> of the program’s physical resources</w:t>
      </w:r>
    </w:p>
    <w:p w14:paraId="35AFF15A" w14:textId="77777777" w:rsidR="001733FF" w:rsidRPr="00C77F4E" w:rsidRDefault="001733FF" w:rsidP="006416BB">
      <w:pPr>
        <w:widowControl w:val="0"/>
        <w:tabs>
          <w:tab w:val="left" w:pos="-1080"/>
          <w:tab w:val="left" w:pos="-720"/>
        </w:tabs>
        <w:autoSpaceDE w:val="0"/>
        <w:autoSpaceDN w:val="0"/>
        <w:adjustRightInd w:val="0"/>
        <w:spacing w:after="120" w:line="240" w:lineRule="auto"/>
        <w:rPr>
          <w:rFonts w:ascii="Helvetica" w:hAnsi="Helvetica" w:cs="Arial"/>
          <w:i/>
          <w:color w:val="000000"/>
          <w:sz w:val="20"/>
          <w:szCs w:val="20"/>
        </w:rPr>
      </w:pPr>
      <w:r w:rsidRPr="00C77F4E">
        <w:rPr>
          <w:rFonts w:ascii="Helvetica" w:hAnsi="Helvetica" w:cs="Arial"/>
          <w:i/>
          <w:sz w:val="20"/>
          <w:szCs w:val="20"/>
        </w:rPr>
        <w:t>Programs that leverage international programs, or off-campus settings such as urban centers, to teach courses where student performance criteria are being met, must provide a description of these venues in the APR and how they affect a program’s on-campus physical resources.</w:t>
      </w:r>
    </w:p>
    <w:p w14:paraId="39CAC929" w14:textId="77777777" w:rsidR="001733FF" w:rsidRPr="00C77F4E" w:rsidRDefault="001733FF" w:rsidP="006416BB">
      <w:pPr>
        <w:widowControl w:val="0"/>
        <w:tabs>
          <w:tab w:val="left" w:pos="-1080"/>
          <w:tab w:val="left" w:pos="-720"/>
        </w:tabs>
        <w:autoSpaceDE w:val="0"/>
        <w:autoSpaceDN w:val="0"/>
        <w:adjustRightInd w:val="0"/>
        <w:spacing w:after="120" w:line="240" w:lineRule="auto"/>
        <w:rPr>
          <w:rFonts w:ascii="Helvetica" w:hAnsi="Helvetica" w:cs="Arial"/>
          <w:i/>
          <w:color w:val="000000"/>
          <w:sz w:val="20"/>
          <w:szCs w:val="20"/>
        </w:rPr>
      </w:pPr>
      <w:r w:rsidRPr="00C77F4E">
        <w:rPr>
          <w:rFonts w:ascii="Helvetica" w:hAnsi="Helvetica" w:cs="Arial"/>
          <w:i/>
          <w:sz w:val="20"/>
          <w:szCs w:val="20"/>
        </w:rPr>
        <w:t>Programs that use massive open online courses (MOOCs) or online learning formats to deliver SPC-related content or to meet other program or institutional requirements in tandem with traditional onsite learning must describe what effect, if any, MOOCs or online learning has on the physical resource requirements for the program.</w:t>
      </w:r>
    </w:p>
    <w:p w14:paraId="4F82BEED" w14:textId="77777777" w:rsidR="001733FF" w:rsidRPr="00C77F4E" w:rsidRDefault="001733FF" w:rsidP="002F5349">
      <w:pPr>
        <w:pStyle w:val="ColorfulList-Accent11"/>
        <w:spacing w:after="120" w:line="240" w:lineRule="auto"/>
        <w:ind w:left="0"/>
        <w:contextualSpacing w:val="0"/>
        <w:outlineLvl w:val="1"/>
        <w:rPr>
          <w:rFonts w:ascii="Helvetica" w:hAnsi="Helvetica" w:cs="Arial"/>
          <w:sz w:val="20"/>
          <w:szCs w:val="20"/>
        </w:rPr>
      </w:pPr>
      <w:bookmarkStart w:id="31" w:name="_Toc358370824"/>
      <w:bookmarkStart w:id="32" w:name="_Toc462758528"/>
      <w:r w:rsidRPr="00C77F4E">
        <w:rPr>
          <w:rFonts w:ascii="Helvetica" w:hAnsi="Helvetica" w:cs="Arial"/>
          <w:b/>
          <w:sz w:val="20"/>
          <w:szCs w:val="20"/>
        </w:rPr>
        <w:t>I.2.3 Financial Resources</w:t>
      </w:r>
      <w:bookmarkEnd w:id="31"/>
      <w:bookmarkEnd w:id="32"/>
      <w:r w:rsidRPr="00C77F4E">
        <w:rPr>
          <w:rFonts w:ascii="Helvetica" w:hAnsi="Helvetica" w:cs="Arial"/>
          <w:sz w:val="20"/>
          <w:szCs w:val="20"/>
        </w:rPr>
        <w:t xml:space="preserve"> </w:t>
      </w:r>
    </w:p>
    <w:p w14:paraId="65E36DE6" w14:textId="77777777" w:rsidR="001733FF" w:rsidRPr="00C77F4E" w:rsidRDefault="001733FF" w:rsidP="002F5349">
      <w:pPr>
        <w:spacing w:after="120" w:line="240" w:lineRule="auto"/>
        <w:rPr>
          <w:rFonts w:ascii="Helvetica" w:hAnsi="Helvetica" w:cs="Arial"/>
          <w:i/>
          <w:color w:val="000000"/>
          <w:sz w:val="20"/>
          <w:szCs w:val="20"/>
        </w:rPr>
      </w:pPr>
      <w:r w:rsidRPr="00C77F4E">
        <w:rPr>
          <w:rFonts w:ascii="Helvetica" w:hAnsi="Helvetica" w:cs="Arial"/>
          <w:i/>
          <w:color w:val="000000"/>
          <w:sz w:val="20"/>
          <w:szCs w:val="20"/>
        </w:rPr>
        <w:t xml:space="preserve">The </w:t>
      </w:r>
      <w:r w:rsidRPr="00C77F4E">
        <w:rPr>
          <w:rFonts w:ascii="Helvetica" w:hAnsi="Helvetica" w:cs="Arial"/>
          <w:i/>
          <w:iCs/>
          <w:color w:val="000000"/>
          <w:sz w:val="20"/>
          <w:szCs w:val="20"/>
        </w:rPr>
        <w:t xml:space="preserve">APR </w:t>
      </w:r>
      <w:r w:rsidRPr="00C77F4E">
        <w:rPr>
          <w:rFonts w:ascii="Helvetica" w:hAnsi="Helvetica" w:cs="Arial"/>
          <w:i/>
          <w:color w:val="000000"/>
          <w:sz w:val="20"/>
          <w:szCs w:val="20"/>
        </w:rPr>
        <w:t>must include the following:</w:t>
      </w:r>
    </w:p>
    <w:p w14:paraId="60FC0EA8" w14:textId="77777777" w:rsidR="009F6211" w:rsidRPr="00C77F4E" w:rsidRDefault="009F6211" w:rsidP="002F5349">
      <w:pPr>
        <w:pStyle w:val="ColorfulList-Accent11"/>
        <w:numPr>
          <w:ilvl w:val="0"/>
          <w:numId w:val="4"/>
        </w:numPr>
        <w:spacing w:after="120" w:line="240" w:lineRule="auto"/>
        <w:ind w:left="360"/>
        <w:contextualSpacing w:val="0"/>
        <w:rPr>
          <w:rFonts w:ascii="Helvetica" w:hAnsi="Helvetica" w:cs="Arial"/>
          <w:i/>
          <w:sz w:val="20"/>
          <w:szCs w:val="20"/>
        </w:rPr>
      </w:pPr>
      <w:r w:rsidRPr="00C77F4E">
        <w:rPr>
          <w:rFonts w:ascii="Helvetica" w:hAnsi="Helvetica" w:cs="Arial"/>
          <w:i/>
          <w:sz w:val="20"/>
          <w:szCs w:val="20"/>
        </w:rPr>
        <w:t xml:space="preserve">A description of the institutional process for allocating financial resources to </w:t>
      </w:r>
      <w:r w:rsidR="009A0655" w:rsidRPr="00C77F4E">
        <w:rPr>
          <w:rFonts w:ascii="Helvetica" w:hAnsi="Helvetica" w:cs="Arial"/>
          <w:i/>
          <w:sz w:val="20"/>
          <w:szCs w:val="20"/>
        </w:rPr>
        <w:t>the professional degree program</w:t>
      </w:r>
      <w:r w:rsidRPr="00C77F4E">
        <w:rPr>
          <w:rFonts w:ascii="Helvetica" w:hAnsi="Helvetica" w:cs="Arial"/>
          <w:i/>
          <w:sz w:val="20"/>
          <w:szCs w:val="20"/>
        </w:rPr>
        <w:t>.</w:t>
      </w:r>
    </w:p>
    <w:p w14:paraId="40CB37C5" w14:textId="77777777" w:rsidR="001733FF" w:rsidRPr="00C77F4E" w:rsidRDefault="001733FF" w:rsidP="002F5349">
      <w:pPr>
        <w:pStyle w:val="ColorfulList-Accent11"/>
        <w:numPr>
          <w:ilvl w:val="0"/>
          <w:numId w:val="4"/>
        </w:numPr>
        <w:spacing w:after="120" w:line="240" w:lineRule="auto"/>
        <w:ind w:left="360"/>
        <w:contextualSpacing w:val="0"/>
        <w:rPr>
          <w:rFonts w:ascii="Helvetica" w:hAnsi="Helvetica" w:cs="Arial"/>
          <w:i/>
          <w:sz w:val="20"/>
          <w:szCs w:val="20"/>
        </w:rPr>
      </w:pPr>
      <w:r w:rsidRPr="00C77F4E">
        <w:rPr>
          <w:rFonts w:ascii="Helvetica" w:hAnsi="Helvetica" w:cs="Arial"/>
          <w:i/>
          <w:sz w:val="20"/>
          <w:szCs w:val="20"/>
        </w:rPr>
        <w:t>A description of the expense ca</w:t>
      </w:r>
      <w:r w:rsidR="00196B20" w:rsidRPr="00C77F4E">
        <w:rPr>
          <w:rFonts w:ascii="Helvetica" w:hAnsi="Helvetica" w:cs="Arial"/>
          <w:i/>
          <w:sz w:val="20"/>
          <w:szCs w:val="20"/>
        </w:rPr>
        <w:t xml:space="preserve">tegories over which the program has </w:t>
      </w:r>
      <w:r w:rsidRPr="00C77F4E">
        <w:rPr>
          <w:rFonts w:ascii="Helvetica" w:hAnsi="Helvetica" w:cs="Arial"/>
          <w:i/>
          <w:sz w:val="20"/>
          <w:szCs w:val="20"/>
        </w:rPr>
        <w:t>either control or influence.</w:t>
      </w:r>
    </w:p>
    <w:p w14:paraId="202B0309" w14:textId="77777777" w:rsidR="00F95E1E" w:rsidRPr="00C77F4E" w:rsidRDefault="001733FF" w:rsidP="00F95E1E">
      <w:pPr>
        <w:pStyle w:val="ColorfulList-Accent11"/>
        <w:numPr>
          <w:ilvl w:val="0"/>
          <w:numId w:val="4"/>
        </w:numPr>
        <w:spacing w:after="120" w:line="240" w:lineRule="auto"/>
        <w:ind w:left="360"/>
        <w:contextualSpacing w:val="0"/>
        <w:rPr>
          <w:rFonts w:ascii="Helvetica" w:hAnsi="Helvetica" w:cs="Arial"/>
          <w:i/>
          <w:sz w:val="20"/>
          <w:szCs w:val="20"/>
        </w:rPr>
      </w:pPr>
      <w:r w:rsidRPr="00C77F4E">
        <w:rPr>
          <w:rFonts w:ascii="Helvetica" w:hAnsi="Helvetica" w:cs="Arial"/>
          <w:i/>
          <w:sz w:val="20"/>
          <w:szCs w:val="20"/>
        </w:rPr>
        <w:t>A description of the revenue categories over which the program has control or influence.</w:t>
      </w:r>
    </w:p>
    <w:p w14:paraId="62F114E5" w14:textId="2D203787" w:rsidR="00F95E1E" w:rsidRPr="00C77F4E" w:rsidRDefault="00F95E1E" w:rsidP="00F95E1E">
      <w:pPr>
        <w:pStyle w:val="ColorfulList-Accent11"/>
        <w:numPr>
          <w:ilvl w:val="0"/>
          <w:numId w:val="4"/>
        </w:numPr>
        <w:spacing w:after="120" w:line="240" w:lineRule="auto"/>
        <w:ind w:left="360"/>
        <w:contextualSpacing w:val="0"/>
        <w:rPr>
          <w:rFonts w:ascii="Helvetica" w:hAnsi="Helvetica" w:cs="Arial"/>
          <w:i/>
          <w:sz w:val="20"/>
          <w:szCs w:val="20"/>
        </w:rPr>
      </w:pPr>
      <w:r w:rsidRPr="00C77F4E">
        <w:rPr>
          <w:rFonts w:ascii="Helvetica" w:hAnsi="Helvetica" w:cs="Arial"/>
          <w:i/>
          <w:sz w:val="20"/>
          <w:szCs w:val="20"/>
        </w:rPr>
        <w:t>A description of the scholarship, fellowship and grant funds available for student and faculty use.</w:t>
      </w:r>
    </w:p>
    <w:p w14:paraId="7DB29F39" w14:textId="338A2232" w:rsidR="001733FF" w:rsidRPr="00C77F4E" w:rsidRDefault="001733FF" w:rsidP="002F5349">
      <w:pPr>
        <w:pStyle w:val="ColorfulList-Accent11"/>
        <w:numPr>
          <w:ilvl w:val="0"/>
          <w:numId w:val="5"/>
        </w:numPr>
        <w:spacing w:after="120" w:line="240" w:lineRule="auto"/>
        <w:ind w:left="360"/>
        <w:contextualSpacing w:val="0"/>
        <w:rPr>
          <w:rFonts w:ascii="Helvetica" w:hAnsi="Helvetica" w:cs="Arial"/>
          <w:i/>
          <w:sz w:val="20"/>
          <w:szCs w:val="20"/>
        </w:rPr>
      </w:pPr>
      <w:r w:rsidRPr="00C77F4E">
        <w:rPr>
          <w:rFonts w:ascii="Helvetica" w:hAnsi="Helvetica" w:cs="Arial"/>
          <w:i/>
          <w:sz w:val="20"/>
          <w:szCs w:val="20"/>
        </w:rPr>
        <w:t xml:space="preserve">A brief </w:t>
      </w:r>
      <w:r w:rsidR="00F95E1E" w:rsidRPr="00C77F4E">
        <w:rPr>
          <w:rFonts w:ascii="Helvetica" w:hAnsi="Helvetica" w:cs="Arial"/>
          <w:i/>
          <w:sz w:val="20"/>
          <w:szCs w:val="20"/>
        </w:rPr>
        <w:t xml:space="preserve">summary of the following </w:t>
      </w:r>
      <w:r w:rsidR="00196B20" w:rsidRPr="00C77F4E">
        <w:rPr>
          <w:rFonts w:ascii="Helvetica" w:hAnsi="Helvetica" w:cs="Arial"/>
          <w:i/>
          <w:sz w:val="20"/>
          <w:szCs w:val="20"/>
        </w:rPr>
        <w:t xml:space="preserve">(limited to </w:t>
      </w:r>
      <w:r w:rsidR="006416BB" w:rsidRPr="00C77F4E">
        <w:rPr>
          <w:rFonts w:ascii="Helvetica" w:hAnsi="Helvetica" w:cs="Arial"/>
          <w:i/>
          <w:sz w:val="20"/>
          <w:szCs w:val="20"/>
        </w:rPr>
        <w:t>1</w:t>
      </w:r>
      <w:r w:rsidR="00196B20" w:rsidRPr="00C77F4E">
        <w:rPr>
          <w:rFonts w:ascii="Helvetica" w:hAnsi="Helvetica" w:cs="Arial"/>
          <w:i/>
          <w:sz w:val="20"/>
          <w:szCs w:val="20"/>
        </w:rPr>
        <w:t xml:space="preserve"> page</w:t>
      </w:r>
      <w:r w:rsidR="00CE43DC" w:rsidRPr="00C77F4E">
        <w:rPr>
          <w:rFonts w:ascii="Helvetica" w:hAnsi="Helvetica" w:cs="Arial"/>
          <w:i/>
          <w:sz w:val="20"/>
          <w:szCs w:val="20"/>
        </w:rPr>
        <w:t>; may</w:t>
      </w:r>
      <w:r w:rsidR="00F95E1E" w:rsidRPr="00C77F4E">
        <w:rPr>
          <w:rFonts w:ascii="Helvetica" w:hAnsi="Helvetica" w:cs="Arial"/>
          <w:i/>
          <w:sz w:val="20"/>
          <w:szCs w:val="20"/>
        </w:rPr>
        <w:t xml:space="preserve"> be a bulleted list</w:t>
      </w:r>
      <w:r w:rsidR="00196B20" w:rsidRPr="00C77F4E">
        <w:rPr>
          <w:rFonts w:ascii="Helvetica" w:hAnsi="Helvetica" w:cs="Arial"/>
          <w:i/>
          <w:sz w:val="20"/>
          <w:szCs w:val="20"/>
        </w:rPr>
        <w:t>)</w:t>
      </w:r>
      <w:r w:rsidRPr="00C77F4E">
        <w:rPr>
          <w:rFonts w:ascii="Helvetica" w:hAnsi="Helvetica" w:cs="Arial"/>
          <w:i/>
          <w:sz w:val="20"/>
          <w:szCs w:val="20"/>
        </w:rPr>
        <w:t xml:space="preserve">: </w:t>
      </w:r>
    </w:p>
    <w:p w14:paraId="489346DE" w14:textId="77777777" w:rsidR="001733FF" w:rsidRPr="00C77F4E" w:rsidRDefault="001733FF" w:rsidP="002F5349">
      <w:pPr>
        <w:pStyle w:val="ColorfulList-Accent11"/>
        <w:numPr>
          <w:ilvl w:val="1"/>
          <w:numId w:val="5"/>
        </w:numPr>
        <w:spacing w:after="120" w:line="240" w:lineRule="auto"/>
        <w:ind w:left="1080"/>
        <w:contextualSpacing w:val="0"/>
        <w:rPr>
          <w:rFonts w:ascii="Helvetica" w:hAnsi="Helvetica" w:cs="Arial"/>
          <w:i/>
          <w:sz w:val="20"/>
          <w:szCs w:val="20"/>
        </w:rPr>
      </w:pPr>
      <w:r w:rsidRPr="00C77F4E">
        <w:rPr>
          <w:rFonts w:ascii="Helvetica" w:hAnsi="Helvetica" w:cs="Arial"/>
          <w:i/>
          <w:sz w:val="20"/>
          <w:szCs w:val="20"/>
        </w:rPr>
        <w:t>Pending reductions or increases in enrollment and plans for addressing these changes.</w:t>
      </w:r>
    </w:p>
    <w:p w14:paraId="5512818C" w14:textId="77777777" w:rsidR="001733FF" w:rsidRPr="00C77F4E" w:rsidRDefault="001733FF" w:rsidP="002F5349">
      <w:pPr>
        <w:pStyle w:val="ColorfulList-Accent11"/>
        <w:numPr>
          <w:ilvl w:val="1"/>
          <w:numId w:val="5"/>
        </w:numPr>
        <w:spacing w:after="120" w:line="240" w:lineRule="auto"/>
        <w:ind w:left="1080"/>
        <w:contextualSpacing w:val="0"/>
        <w:rPr>
          <w:rFonts w:ascii="Helvetica" w:hAnsi="Helvetica" w:cs="Arial"/>
          <w:i/>
          <w:sz w:val="20"/>
          <w:szCs w:val="20"/>
        </w:rPr>
      </w:pPr>
      <w:r w:rsidRPr="00C77F4E">
        <w:rPr>
          <w:rFonts w:ascii="Helvetica" w:hAnsi="Helvetica" w:cs="Arial"/>
          <w:i/>
          <w:sz w:val="20"/>
          <w:szCs w:val="20"/>
        </w:rPr>
        <w:t>Pending reductions or increases in funding and plans for addressing these changes.</w:t>
      </w:r>
    </w:p>
    <w:p w14:paraId="4200BBF7" w14:textId="77777777" w:rsidR="001733FF" w:rsidRPr="00C77F4E" w:rsidRDefault="001733FF" w:rsidP="002F5349">
      <w:pPr>
        <w:pStyle w:val="ColorfulList-Accent11"/>
        <w:numPr>
          <w:ilvl w:val="1"/>
          <w:numId w:val="5"/>
        </w:numPr>
        <w:spacing w:after="120" w:line="240" w:lineRule="auto"/>
        <w:ind w:left="1080"/>
        <w:contextualSpacing w:val="0"/>
        <w:rPr>
          <w:rFonts w:ascii="Helvetica" w:hAnsi="Helvetica" w:cs="Arial"/>
          <w:i/>
          <w:sz w:val="20"/>
          <w:szCs w:val="20"/>
        </w:rPr>
      </w:pPr>
      <w:r w:rsidRPr="00C77F4E">
        <w:rPr>
          <w:rFonts w:ascii="Helvetica" w:hAnsi="Helvetica" w:cs="Arial"/>
          <w:i/>
          <w:sz w:val="20"/>
          <w:szCs w:val="20"/>
        </w:rPr>
        <w:t>Changes in funding models for faculty</w:t>
      </w:r>
      <w:r w:rsidR="009F6211" w:rsidRPr="00C77F4E">
        <w:rPr>
          <w:rFonts w:ascii="Helvetica" w:hAnsi="Helvetica" w:cs="Arial"/>
          <w:i/>
          <w:sz w:val="20"/>
          <w:szCs w:val="20"/>
        </w:rPr>
        <w:t xml:space="preserve"> compensation</w:t>
      </w:r>
      <w:r w:rsidRPr="00C77F4E">
        <w:rPr>
          <w:rFonts w:ascii="Helvetica" w:hAnsi="Helvetica" w:cs="Arial"/>
          <w:i/>
          <w:sz w:val="20"/>
          <w:szCs w:val="20"/>
        </w:rPr>
        <w:t>, instruction, overhead, or facilities since the last visit and plans for addressing these changes (include tables if appropriate).</w:t>
      </w:r>
    </w:p>
    <w:p w14:paraId="42CCE470" w14:textId="77777777" w:rsidR="001733FF" w:rsidRPr="00C77F4E" w:rsidRDefault="001733FF" w:rsidP="009A0655">
      <w:pPr>
        <w:pStyle w:val="ColorfulList-Accent11"/>
        <w:numPr>
          <w:ilvl w:val="1"/>
          <w:numId w:val="5"/>
        </w:numPr>
        <w:spacing w:after="120" w:line="240" w:lineRule="auto"/>
        <w:ind w:left="1080"/>
        <w:contextualSpacing w:val="0"/>
        <w:rPr>
          <w:rFonts w:ascii="Helvetica" w:hAnsi="Helvetica" w:cs="Arial"/>
          <w:i/>
          <w:sz w:val="20"/>
          <w:szCs w:val="20"/>
        </w:rPr>
      </w:pPr>
      <w:r w:rsidRPr="00C77F4E">
        <w:rPr>
          <w:rFonts w:ascii="Helvetica" w:hAnsi="Helvetica" w:cs="Arial"/>
          <w:i/>
          <w:sz w:val="20"/>
          <w:szCs w:val="20"/>
        </w:rPr>
        <w:t>Planned or in-progress institutional development campaigns that include designations for the program (e.g., capital projects or endowments).</w:t>
      </w:r>
    </w:p>
    <w:p w14:paraId="496477E0" w14:textId="77777777" w:rsidR="001733FF" w:rsidRPr="00C77F4E" w:rsidRDefault="001733FF" w:rsidP="002F5349">
      <w:pPr>
        <w:pStyle w:val="Heading2"/>
        <w:spacing w:before="0" w:after="120" w:line="240" w:lineRule="auto"/>
        <w:rPr>
          <w:rFonts w:ascii="Helvetica" w:hAnsi="Helvetica" w:cs="Arial"/>
          <w:sz w:val="20"/>
          <w:szCs w:val="20"/>
        </w:rPr>
      </w:pPr>
      <w:bookmarkStart w:id="33" w:name="_Toc358370826"/>
      <w:bookmarkStart w:id="34" w:name="_Toc462758529"/>
      <w:r w:rsidRPr="00C77F4E">
        <w:rPr>
          <w:rFonts w:ascii="Helvetica" w:hAnsi="Helvetica" w:cs="Arial"/>
          <w:i w:val="0"/>
          <w:sz w:val="20"/>
          <w:szCs w:val="20"/>
        </w:rPr>
        <w:t>I.2.4 Information Resources</w:t>
      </w:r>
      <w:r w:rsidRPr="00C77F4E">
        <w:rPr>
          <w:rFonts w:ascii="Helvetica" w:hAnsi="Helvetica" w:cs="Arial"/>
          <w:b w:val="0"/>
          <w:i w:val="0"/>
          <w:sz w:val="20"/>
          <w:szCs w:val="20"/>
        </w:rPr>
        <w:t>:</w:t>
      </w:r>
      <w:bookmarkEnd w:id="33"/>
      <w:bookmarkEnd w:id="34"/>
      <w:r w:rsidRPr="00C77F4E">
        <w:rPr>
          <w:rFonts w:ascii="Helvetica" w:hAnsi="Helvetica" w:cs="Arial"/>
          <w:b w:val="0"/>
          <w:i w:val="0"/>
          <w:sz w:val="20"/>
          <w:szCs w:val="20"/>
        </w:rPr>
        <w:t xml:space="preserve"> </w:t>
      </w:r>
    </w:p>
    <w:p w14:paraId="2E57A863" w14:textId="77777777" w:rsidR="001733FF" w:rsidRPr="00C77F4E" w:rsidRDefault="001733FF" w:rsidP="002F5349">
      <w:pPr>
        <w:autoSpaceDE w:val="0"/>
        <w:autoSpaceDN w:val="0"/>
        <w:adjustRightInd w:val="0"/>
        <w:spacing w:after="120" w:line="240" w:lineRule="auto"/>
        <w:rPr>
          <w:rFonts w:ascii="Helvetica" w:hAnsi="Helvetica" w:cs="Arial"/>
          <w:i/>
          <w:sz w:val="20"/>
          <w:szCs w:val="20"/>
        </w:rPr>
      </w:pPr>
      <w:r w:rsidRPr="00C77F4E">
        <w:rPr>
          <w:rFonts w:ascii="Helvetica" w:hAnsi="Helvetica" w:cs="Arial"/>
          <w:i/>
          <w:sz w:val="20"/>
          <w:szCs w:val="20"/>
        </w:rPr>
        <w:t xml:space="preserve">The APR must include the following </w:t>
      </w:r>
    </w:p>
    <w:p w14:paraId="73E3B9E6" w14:textId="77777777" w:rsidR="001733FF" w:rsidRPr="00C77F4E" w:rsidRDefault="001733FF" w:rsidP="002F5349">
      <w:pPr>
        <w:widowControl w:val="0"/>
        <w:numPr>
          <w:ilvl w:val="0"/>
          <w:numId w:val="13"/>
        </w:numPr>
        <w:tabs>
          <w:tab w:val="left" w:pos="-1080"/>
          <w:tab w:val="left" w:pos="-720"/>
        </w:tabs>
        <w:autoSpaceDE w:val="0"/>
        <w:autoSpaceDN w:val="0"/>
        <w:adjustRightInd w:val="0"/>
        <w:spacing w:after="120" w:line="240" w:lineRule="auto"/>
        <w:ind w:left="360"/>
        <w:rPr>
          <w:rFonts w:ascii="Helvetica" w:hAnsi="Helvetica" w:cs="Arial"/>
          <w:i/>
          <w:sz w:val="20"/>
          <w:szCs w:val="20"/>
        </w:rPr>
      </w:pPr>
      <w:r w:rsidRPr="00C77F4E">
        <w:rPr>
          <w:rFonts w:ascii="Helvetica" w:hAnsi="Helvetica" w:cs="Arial"/>
          <w:i/>
          <w:sz w:val="20"/>
          <w:szCs w:val="20"/>
        </w:rPr>
        <w:t xml:space="preserve">A description of the institutional context for </w:t>
      </w:r>
      <w:r w:rsidR="009F6211" w:rsidRPr="00C77F4E">
        <w:rPr>
          <w:rFonts w:ascii="Helvetica" w:hAnsi="Helvetica" w:cs="Arial"/>
          <w:i/>
          <w:sz w:val="20"/>
          <w:szCs w:val="20"/>
        </w:rPr>
        <w:t xml:space="preserve">library and </w:t>
      </w:r>
      <w:r w:rsidR="007E7666" w:rsidRPr="00C77F4E">
        <w:rPr>
          <w:rFonts w:ascii="Helvetica" w:hAnsi="Helvetica" w:cs="Arial"/>
          <w:i/>
          <w:sz w:val="20"/>
          <w:szCs w:val="20"/>
        </w:rPr>
        <w:t>information resources</w:t>
      </w:r>
      <w:r w:rsidRPr="00C77F4E">
        <w:rPr>
          <w:rFonts w:ascii="Helvetica" w:hAnsi="Helvetica" w:cs="Arial"/>
          <w:i/>
          <w:sz w:val="20"/>
          <w:szCs w:val="20"/>
        </w:rPr>
        <w:t>.</w:t>
      </w:r>
    </w:p>
    <w:p w14:paraId="025FA7E4" w14:textId="77777777" w:rsidR="001733FF" w:rsidRPr="00C77F4E" w:rsidRDefault="001733FF" w:rsidP="002F5349">
      <w:pPr>
        <w:widowControl w:val="0"/>
        <w:numPr>
          <w:ilvl w:val="0"/>
          <w:numId w:val="13"/>
        </w:numPr>
        <w:tabs>
          <w:tab w:val="left" w:pos="-1080"/>
          <w:tab w:val="left" w:pos="-720"/>
        </w:tabs>
        <w:autoSpaceDE w:val="0"/>
        <w:autoSpaceDN w:val="0"/>
        <w:adjustRightInd w:val="0"/>
        <w:spacing w:after="120" w:line="240" w:lineRule="auto"/>
        <w:ind w:left="360"/>
        <w:rPr>
          <w:rFonts w:ascii="Helvetica" w:hAnsi="Helvetica" w:cs="Arial"/>
          <w:i/>
          <w:sz w:val="20"/>
          <w:szCs w:val="20"/>
        </w:rPr>
      </w:pPr>
      <w:r w:rsidRPr="00C77F4E">
        <w:rPr>
          <w:rFonts w:ascii="Helvetica" w:hAnsi="Helvetica" w:cs="Arial"/>
          <w:i/>
          <w:sz w:val="20"/>
          <w:szCs w:val="20"/>
        </w:rPr>
        <w:t xml:space="preserve">A description of the library and </w:t>
      </w:r>
      <w:r w:rsidR="007E7666" w:rsidRPr="00C77F4E">
        <w:rPr>
          <w:rFonts w:ascii="Helvetica" w:hAnsi="Helvetica" w:cs="Arial"/>
          <w:i/>
          <w:sz w:val="20"/>
          <w:szCs w:val="20"/>
        </w:rPr>
        <w:t>information r</w:t>
      </w:r>
      <w:r w:rsidRPr="00C77F4E">
        <w:rPr>
          <w:rFonts w:ascii="Helvetica" w:hAnsi="Helvetica" w:cs="Arial"/>
          <w:i/>
          <w:sz w:val="20"/>
          <w:szCs w:val="20"/>
        </w:rPr>
        <w:t>esource collections, services, staff, fac</w:t>
      </w:r>
      <w:r w:rsidR="009A0655" w:rsidRPr="00C77F4E">
        <w:rPr>
          <w:rFonts w:ascii="Helvetica" w:hAnsi="Helvetica" w:cs="Arial"/>
          <w:i/>
          <w:sz w:val="20"/>
          <w:szCs w:val="20"/>
        </w:rPr>
        <w:t>ilities, and equipment that includes</w:t>
      </w:r>
      <w:r w:rsidRPr="00C77F4E">
        <w:rPr>
          <w:rFonts w:ascii="Helvetica" w:hAnsi="Helvetica" w:cs="Arial"/>
          <w:i/>
          <w:sz w:val="20"/>
          <w:szCs w:val="20"/>
        </w:rPr>
        <w:t xml:space="preserve"> the following:</w:t>
      </w:r>
    </w:p>
    <w:p w14:paraId="2AB888B5" w14:textId="244DF183" w:rsidR="001733FF" w:rsidRPr="00C77F4E" w:rsidRDefault="009A0655" w:rsidP="002F5349">
      <w:pPr>
        <w:pStyle w:val="BodyTextIndent2"/>
        <w:numPr>
          <w:ilvl w:val="0"/>
          <w:numId w:val="14"/>
        </w:numPr>
        <w:spacing w:line="240" w:lineRule="auto"/>
        <w:rPr>
          <w:rFonts w:ascii="Helvetica" w:hAnsi="Helvetica" w:cs="Arial"/>
          <w:i/>
          <w:sz w:val="20"/>
          <w:szCs w:val="20"/>
        </w:rPr>
      </w:pPr>
      <w:r w:rsidRPr="00C77F4E">
        <w:rPr>
          <w:rFonts w:ascii="Helvetica" w:hAnsi="Helvetica" w:cs="Arial"/>
          <w:i/>
          <w:sz w:val="20"/>
          <w:szCs w:val="20"/>
        </w:rPr>
        <w:t xml:space="preserve">A brief description of the </w:t>
      </w:r>
      <w:r w:rsidR="001733FF" w:rsidRPr="00C77F4E">
        <w:rPr>
          <w:rFonts w:ascii="Helvetica" w:hAnsi="Helvetica" w:cs="Arial"/>
          <w:i/>
          <w:sz w:val="20"/>
          <w:szCs w:val="20"/>
        </w:rPr>
        <w:t>content, extent</w:t>
      </w:r>
      <w:r w:rsidR="005055B0" w:rsidRPr="00C77F4E">
        <w:rPr>
          <w:rFonts w:ascii="Helvetica" w:hAnsi="Helvetica" w:cs="Arial"/>
          <w:i/>
          <w:sz w:val="20"/>
          <w:szCs w:val="20"/>
        </w:rPr>
        <w:t>,</w:t>
      </w:r>
      <w:r w:rsidR="001733FF" w:rsidRPr="00C77F4E">
        <w:rPr>
          <w:rFonts w:ascii="Helvetica" w:hAnsi="Helvetica" w:cs="Arial"/>
          <w:i/>
          <w:sz w:val="20"/>
          <w:szCs w:val="20"/>
        </w:rPr>
        <w:t xml:space="preserve"> and formats represented in the current collection </w:t>
      </w:r>
      <w:r w:rsidR="00196B20" w:rsidRPr="00C77F4E">
        <w:rPr>
          <w:rFonts w:ascii="Helvetica" w:hAnsi="Helvetica" w:cs="Arial"/>
          <w:i/>
          <w:sz w:val="20"/>
          <w:szCs w:val="20"/>
        </w:rPr>
        <w:t xml:space="preserve">including </w:t>
      </w:r>
      <w:r w:rsidR="001733FF" w:rsidRPr="00C77F4E">
        <w:rPr>
          <w:rFonts w:ascii="Helvetica" w:hAnsi="Helvetica" w:cs="Arial"/>
          <w:i/>
          <w:sz w:val="20"/>
          <w:szCs w:val="20"/>
        </w:rPr>
        <w:t>subject areas represented.</w:t>
      </w:r>
    </w:p>
    <w:p w14:paraId="0461480C" w14:textId="2FB3767B" w:rsidR="001733FF" w:rsidRPr="00C77F4E" w:rsidRDefault="005055B0" w:rsidP="002F5349">
      <w:pPr>
        <w:pStyle w:val="BodyTextIndent2"/>
        <w:numPr>
          <w:ilvl w:val="0"/>
          <w:numId w:val="14"/>
        </w:numPr>
        <w:spacing w:line="240" w:lineRule="auto"/>
        <w:rPr>
          <w:rFonts w:ascii="Helvetica" w:hAnsi="Helvetica" w:cs="Arial"/>
          <w:i/>
          <w:sz w:val="20"/>
          <w:szCs w:val="20"/>
        </w:rPr>
      </w:pPr>
      <w:r w:rsidRPr="00C77F4E">
        <w:rPr>
          <w:rFonts w:ascii="Helvetica" w:hAnsi="Helvetica" w:cs="Arial"/>
          <w:i/>
          <w:sz w:val="20"/>
          <w:szCs w:val="20"/>
        </w:rPr>
        <w:t xml:space="preserve">A brief description of </w:t>
      </w:r>
      <w:r w:rsidR="001733FF" w:rsidRPr="00C77F4E">
        <w:rPr>
          <w:rFonts w:ascii="Helvetica" w:hAnsi="Helvetica" w:cs="Arial"/>
          <w:i/>
          <w:sz w:val="20"/>
          <w:szCs w:val="20"/>
        </w:rPr>
        <w:t>any significant problem that affects the operation or services of the libraries, visual resources collections, and other information resource facilities that support the accredited program</w:t>
      </w:r>
      <w:r w:rsidR="009A0655" w:rsidRPr="00C77F4E">
        <w:rPr>
          <w:rFonts w:ascii="Helvetica" w:hAnsi="Helvetica" w:cs="Arial"/>
          <w:i/>
          <w:sz w:val="20"/>
          <w:szCs w:val="20"/>
        </w:rPr>
        <w:t xml:space="preserve"> and plans for addressing them</w:t>
      </w:r>
      <w:r w:rsidR="001733FF" w:rsidRPr="00C77F4E">
        <w:rPr>
          <w:rFonts w:ascii="Helvetica" w:hAnsi="Helvetica" w:cs="Arial"/>
          <w:i/>
          <w:sz w:val="20"/>
          <w:szCs w:val="20"/>
        </w:rPr>
        <w:t xml:space="preserve">. </w:t>
      </w:r>
    </w:p>
    <w:p w14:paraId="2315B8FF" w14:textId="77777777" w:rsidR="001733FF" w:rsidRPr="00C77F4E" w:rsidRDefault="001733FF" w:rsidP="002F5349">
      <w:pPr>
        <w:pStyle w:val="Heading2"/>
        <w:spacing w:before="0" w:after="120" w:line="240" w:lineRule="auto"/>
        <w:rPr>
          <w:rFonts w:ascii="Helvetica" w:hAnsi="Helvetica" w:cs="Arial"/>
          <w:i w:val="0"/>
          <w:sz w:val="20"/>
          <w:szCs w:val="20"/>
        </w:rPr>
      </w:pPr>
      <w:bookmarkStart w:id="35" w:name="_Toc358370827"/>
      <w:bookmarkStart w:id="36" w:name="_Toc462758530"/>
      <w:r w:rsidRPr="00C77F4E">
        <w:rPr>
          <w:rFonts w:ascii="Helvetica" w:hAnsi="Helvetica" w:cs="Arial"/>
          <w:i w:val="0"/>
          <w:sz w:val="20"/>
          <w:szCs w:val="20"/>
        </w:rPr>
        <w:t>I.2.5 Administrative Structure &amp; Governance:</w:t>
      </w:r>
      <w:bookmarkEnd w:id="35"/>
      <w:bookmarkEnd w:id="36"/>
    </w:p>
    <w:p w14:paraId="1366D0CD" w14:textId="77777777" w:rsidR="001733FF" w:rsidRPr="00C77F4E" w:rsidRDefault="001733FF" w:rsidP="002F5349">
      <w:pPr>
        <w:spacing w:after="120" w:line="240" w:lineRule="auto"/>
        <w:rPr>
          <w:rFonts w:ascii="Helvetica" w:hAnsi="Helvetica" w:cs="Arial"/>
          <w:i/>
          <w:sz w:val="20"/>
          <w:szCs w:val="20"/>
        </w:rPr>
      </w:pPr>
      <w:r w:rsidRPr="00C77F4E">
        <w:rPr>
          <w:rFonts w:ascii="Helvetica" w:hAnsi="Helvetica" w:cs="Arial"/>
          <w:i/>
          <w:sz w:val="20"/>
          <w:szCs w:val="20"/>
        </w:rPr>
        <w:t>The APR must include the following:</w:t>
      </w:r>
    </w:p>
    <w:p w14:paraId="6A650ADB" w14:textId="77777777" w:rsidR="001733FF" w:rsidRPr="00C77F4E" w:rsidRDefault="001733FF" w:rsidP="002F5349">
      <w:pPr>
        <w:numPr>
          <w:ilvl w:val="0"/>
          <w:numId w:val="11"/>
        </w:numPr>
        <w:spacing w:after="120" w:line="240" w:lineRule="auto"/>
        <w:rPr>
          <w:rFonts w:ascii="Helvetica" w:hAnsi="Helvetica" w:cs="Arial"/>
          <w:i/>
          <w:sz w:val="20"/>
          <w:szCs w:val="20"/>
        </w:rPr>
      </w:pPr>
      <w:r w:rsidRPr="00C77F4E">
        <w:rPr>
          <w:rFonts w:ascii="Helvetica" w:hAnsi="Helvetica" w:cs="Arial"/>
          <w:i/>
          <w:sz w:val="20"/>
          <w:szCs w:val="20"/>
        </w:rPr>
        <w:t>A description of the administrative structure for the program, the academic unit within which it is located, and the institution.</w:t>
      </w:r>
    </w:p>
    <w:p w14:paraId="415E7137" w14:textId="50759D5A" w:rsidR="001733FF" w:rsidRPr="00C77F4E" w:rsidRDefault="001733FF" w:rsidP="002F5349">
      <w:pPr>
        <w:numPr>
          <w:ilvl w:val="0"/>
          <w:numId w:val="11"/>
        </w:numPr>
        <w:spacing w:after="120" w:line="240" w:lineRule="auto"/>
        <w:rPr>
          <w:rFonts w:ascii="Helvetica" w:hAnsi="Helvetica" w:cs="Arial"/>
          <w:i/>
          <w:sz w:val="20"/>
          <w:szCs w:val="20"/>
        </w:rPr>
      </w:pPr>
      <w:r w:rsidRPr="00C77F4E">
        <w:rPr>
          <w:rFonts w:ascii="Helvetica" w:hAnsi="Helvetica" w:cs="Arial"/>
          <w:i/>
          <w:sz w:val="20"/>
          <w:szCs w:val="20"/>
        </w:rPr>
        <w:t>A description of the opportunities for involvement in governance</w:t>
      </w:r>
      <w:r w:rsidR="005055B0" w:rsidRPr="00C77F4E">
        <w:rPr>
          <w:rFonts w:ascii="Helvetica" w:hAnsi="Helvetica" w:cs="Arial"/>
          <w:i/>
          <w:sz w:val="20"/>
          <w:szCs w:val="20"/>
        </w:rPr>
        <w:t xml:space="preserve"> by faculty, staff, and students in the accredited program</w:t>
      </w:r>
      <w:r w:rsidRPr="00C77F4E">
        <w:rPr>
          <w:rFonts w:ascii="Helvetica" w:hAnsi="Helvetica" w:cs="Arial"/>
          <w:i/>
          <w:sz w:val="20"/>
          <w:szCs w:val="20"/>
        </w:rPr>
        <w:t>, in</w:t>
      </w:r>
      <w:r w:rsidR="005055B0" w:rsidRPr="00C77F4E">
        <w:rPr>
          <w:rFonts w:ascii="Helvetica" w:hAnsi="Helvetica" w:cs="Arial"/>
          <w:i/>
          <w:sz w:val="20"/>
          <w:szCs w:val="20"/>
        </w:rPr>
        <w:t>cluding curriculum development</w:t>
      </w:r>
      <w:r w:rsidRPr="00C77F4E">
        <w:rPr>
          <w:rFonts w:ascii="Helvetica" w:hAnsi="Helvetica" w:cs="Arial"/>
          <w:i/>
          <w:sz w:val="20"/>
          <w:szCs w:val="20"/>
        </w:rPr>
        <w:t>.</w:t>
      </w:r>
    </w:p>
    <w:p w14:paraId="5F2A15E8" w14:textId="0650B3B1" w:rsidR="009F6211" w:rsidRPr="00C77F4E" w:rsidRDefault="009F6211" w:rsidP="002F5349">
      <w:pPr>
        <w:numPr>
          <w:ilvl w:val="0"/>
          <w:numId w:val="11"/>
        </w:numPr>
        <w:spacing w:after="120" w:line="240" w:lineRule="auto"/>
        <w:rPr>
          <w:rFonts w:ascii="Helvetica" w:hAnsi="Helvetica" w:cs="Arial"/>
          <w:i/>
          <w:sz w:val="20"/>
          <w:szCs w:val="20"/>
        </w:rPr>
      </w:pPr>
      <w:r w:rsidRPr="00C77F4E">
        <w:rPr>
          <w:rFonts w:ascii="Helvetica" w:hAnsi="Helvetica" w:cs="Arial"/>
          <w:i/>
          <w:sz w:val="20"/>
          <w:szCs w:val="20"/>
        </w:rPr>
        <w:t xml:space="preserve">A chart or graphic that </w:t>
      </w:r>
      <w:r w:rsidR="00583499" w:rsidRPr="00C77F4E">
        <w:rPr>
          <w:rFonts w:ascii="Helvetica" w:hAnsi="Helvetica" w:cs="Arial"/>
          <w:i/>
          <w:sz w:val="20"/>
          <w:szCs w:val="20"/>
        </w:rPr>
        <w:t xml:space="preserve">illustrates </w:t>
      </w:r>
      <w:r w:rsidRPr="00C77F4E">
        <w:rPr>
          <w:rFonts w:ascii="Helvetica" w:hAnsi="Helvetica" w:cs="Arial"/>
          <w:i/>
          <w:sz w:val="20"/>
          <w:szCs w:val="20"/>
        </w:rPr>
        <w:t>the description.</w:t>
      </w:r>
    </w:p>
    <w:p w14:paraId="6C9757B2" w14:textId="77777777" w:rsidR="001733FF" w:rsidRPr="00C77F4E" w:rsidRDefault="001733FF" w:rsidP="002F5349">
      <w:pPr>
        <w:pStyle w:val="Heading2"/>
        <w:spacing w:before="0" w:after="120" w:line="240" w:lineRule="auto"/>
        <w:rPr>
          <w:rFonts w:ascii="Helvetica" w:hAnsi="Helvetica" w:cs="Arial"/>
          <w:b w:val="0"/>
          <w:i w:val="0"/>
          <w:sz w:val="20"/>
          <w:szCs w:val="20"/>
        </w:rPr>
      </w:pPr>
      <w:bookmarkStart w:id="37" w:name="_Toc358370833"/>
      <w:bookmarkStart w:id="38" w:name="_Toc462758531"/>
      <w:r w:rsidRPr="00C77F4E">
        <w:rPr>
          <w:rFonts w:ascii="Helvetica" w:hAnsi="Helvetica" w:cs="Arial"/>
          <w:i w:val="0"/>
          <w:sz w:val="20"/>
          <w:szCs w:val="20"/>
        </w:rPr>
        <w:t>II.1.1 Student Performance Criteria:</w:t>
      </w:r>
      <w:bookmarkEnd w:id="37"/>
      <w:bookmarkEnd w:id="38"/>
    </w:p>
    <w:p w14:paraId="050C2F85" w14:textId="77777777" w:rsidR="001733FF" w:rsidRPr="00C77F4E" w:rsidRDefault="001733FF" w:rsidP="002F5349">
      <w:pPr>
        <w:tabs>
          <w:tab w:val="left" w:pos="2608"/>
        </w:tabs>
        <w:spacing w:after="120" w:line="240" w:lineRule="auto"/>
        <w:rPr>
          <w:rFonts w:ascii="Helvetica" w:hAnsi="Helvetica" w:cs="Arial"/>
          <w:i/>
          <w:sz w:val="20"/>
          <w:szCs w:val="20"/>
        </w:rPr>
      </w:pPr>
      <w:r w:rsidRPr="00C77F4E">
        <w:rPr>
          <w:rFonts w:ascii="Helvetica" w:hAnsi="Helvetica" w:cs="Arial"/>
          <w:i/>
          <w:sz w:val="20"/>
          <w:szCs w:val="20"/>
        </w:rPr>
        <w:t>The APR must include:</w:t>
      </w:r>
      <w:r w:rsidRPr="00C77F4E">
        <w:rPr>
          <w:rFonts w:ascii="Helvetica" w:hAnsi="Helvetica" w:cs="Arial"/>
          <w:i/>
          <w:sz w:val="20"/>
          <w:szCs w:val="20"/>
        </w:rPr>
        <w:tab/>
      </w:r>
    </w:p>
    <w:p w14:paraId="3F87AB80" w14:textId="3418178C" w:rsidR="001733FF" w:rsidRPr="00C77F4E" w:rsidRDefault="001733FF" w:rsidP="002F5349">
      <w:pPr>
        <w:widowControl w:val="0"/>
        <w:numPr>
          <w:ilvl w:val="0"/>
          <w:numId w:val="6"/>
        </w:numPr>
        <w:autoSpaceDE w:val="0"/>
        <w:autoSpaceDN w:val="0"/>
        <w:adjustRightInd w:val="0"/>
        <w:spacing w:after="120" w:line="240" w:lineRule="auto"/>
        <w:ind w:left="360"/>
        <w:rPr>
          <w:rFonts w:ascii="Helvetica" w:hAnsi="Helvetica" w:cs="Arial"/>
          <w:i/>
          <w:color w:val="000000"/>
          <w:sz w:val="20"/>
          <w:szCs w:val="20"/>
        </w:rPr>
      </w:pPr>
      <w:r w:rsidRPr="00C77F4E">
        <w:rPr>
          <w:rFonts w:ascii="Helvetica" w:hAnsi="Helvetica" w:cs="Arial"/>
          <w:i/>
          <w:color w:val="000000"/>
          <w:sz w:val="20"/>
          <w:szCs w:val="20"/>
        </w:rPr>
        <w:t>A matrix for each accr</w:t>
      </w:r>
      <w:r w:rsidR="005055B0" w:rsidRPr="00C77F4E">
        <w:rPr>
          <w:rFonts w:ascii="Helvetica" w:hAnsi="Helvetica" w:cs="Arial"/>
          <w:i/>
          <w:color w:val="000000"/>
          <w:sz w:val="20"/>
          <w:szCs w:val="20"/>
        </w:rPr>
        <w:t>edited degree program offered and</w:t>
      </w:r>
      <w:r w:rsidRPr="00C77F4E">
        <w:rPr>
          <w:rFonts w:ascii="Helvetica" w:hAnsi="Helvetica" w:cs="Arial"/>
          <w:i/>
          <w:color w:val="000000"/>
          <w:sz w:val="20"/>
          <w:szCs w:val="20"/>
        </w:rPr>
        <w:t xml:space="preserve"> each track for meeting the requirements of the p</w:t>
      </w:r>
      <w:r w:rsidR="005055B0" w:rsidRPr="00C77F4E">
        <w:rPr>
          <w:rFonts w:ascii="Helvetica" w:hAnsi="Helvetica" w:cs="Arial"/>
          <w:i/>
          <w:color w:val="000000"/>
          <w:sz w:val="20"/>
          <w:szCs w:val="20"/>
        </w:rPr>
        <w:t>rofessional degree program, which</w:t>
      </w:r>
      <w:r w:rsidRPr="00C77F4E">
        <w:rPr>
          <w:rFonts w:ascii="Helvetica" w:hAnsi="Helvetica" w:cs="Arial"/>
          <w:i/>
          <w:color w:val="000000"/>
          <w:sz w:val="20"/>
          <w:szCs w:val="20"/>
        </w:rPr>
        <w:t xml:space="preserve"> identifies each required course with the SPC it fulfills.  </w:t>
      </w:r>
    </w:p>
    <w:p w14:paraId="52CB3174" w14:textId="77777777" w:rsidR="001733FF" w:rsidRPr="00C77F4E" w:rsidRDefault="001733FF" w:rsidP="002F5349">
      <w:pPr>
        <w:widowControl w:val="0"/>
        <w:numPr>
          <w:ilvl w:val="1"/>
          <w:numId w:val="6"/>
        </w:numPr>
        <w:autoSpaceDE w:val="0"/>
        <w:autoSpaceDN w:val="0"/>
        <w:adjustRightInd w:val="0"/>
        <w:spacing w:after="120" w:line="240" w:lineRule="auto"/>
        <w:ind w:left="1080"/>
        <w:rPr>
          <w:rFonts w:ascii="Helvetica" w:hAnsi="Helvetica" w:cs="Arial"/>
          <w:i/>
          <w:color w:val="000000"/>
          <w:sz w:val="20"/>
          <w:szCs w:val="20"/>
        </w:rPr>
      </w:pPr>
      <w:r w:rsidRPr="00C77F4E">
        <w:rPr>
          <w:rFonts w:ascii="Helvetica" w:hAnsi="Helvetica" w:cs="Arial"/>
          <w:i/>
          <w:color w:val="000000"/>
          <w:sz w:val="20"/>
          <w:szCs w:val="20"/>
        </w:rPr>
        <w:t>Where appropriate, the top section of the matrix must indicate those SPCs expected to have been met in preparatory or preprofessional education prior to admission to the NAAB-accredited program (see also Condition II.3).</w:t>
      </w:r>
    </w:p>
    <w:p w14:paraId="583514D1" w14:textId="77777777" w:rsidR="001733FF" w:rsidRPr="00C77F4E" w:rsidRDefault="001733FF" w:rsidP="002F5349">
      <w:pPr>
        <w:widowControl w:val="0"/>
        <w:numPr>
          <w:ilvl w:val="1"/>
          <w:numId w:val="6"/>
        </w:numPr>
        <w:autoSpaceDE w:val="0"/>
        <w:autoSpaceDN w:val="0"/>
        <w:adjustRightInd w:val="0"/>
        <w:spacing w:after="120" w:line="240" w:lineRule="auto"/>
        <w:ind w:left="1080"/>
        <w:rPr>
          <w:rFonts w:ascii="Helvetica" w:hAnsi="Helvetica" w:cs="Arial"/>
          <w:i/>
          <w:color w:val="000000"/>
          <w:sz w:val="20"/>
          <w:szCs w:val="20"/>
        </w:rPr>
      </w:pPr>
      <w:r w:rsidRPr="00C77F4E">
        <w:rPr>
          <w:rFonts w:ascii="Helvetica" w:hAnsi="Helvetica" w:cs="Arial"/>
          <w:i/>
          <w:color w:val="000000"/>
          <w:sz w:val="20"/>
          <w:szCs w:val="20"/>
        </w:rPr>
        <w:t xml:space="preserve">The bottom section of the matrix must include only criteria that are demonstrated in the accredited degree program or track. </w:t>
      </w:r>
    </w:p>
    <w:p w14:paraId="076C826D" w14:textId="77777777" w:rsidR="001733FF" w:rsidRPr="00C77F4E" w:rsidRDefault="001733FF" w:rsidP="002F74D9">
      <w:pPr>
        <w:widowControl w:val="0"/>
        <w:tabs>
          <w:tab w:val="left" w:pos="-1080"/>
          <w:tab w:val="left" w:pos="-720"/>
        </w:tabs>
        <w:autoSpaceDE w:val="0"/>
        <w:autoSpaceDN w:val="0"/>
        <w:adjustRightInd w:val="0"/>
        <w:spacing w:after="120" w:line="240" w:lineRule="auto"/>
        <w:ind w:left="720"/>
        <w:rPr>
          <w:rFonts w:ascii="Helvetica" w:hAnsi="Helvetica" w:cs="Arial"/>
          <w:i/>
          <w:color w:val="000000"/>
          <w:sz w:val="20"/>
          <w:szCs w:val="20"/>
        </w:rPr>
      </w:pPr>
      <w:r w:rsidRPr="00C77F4E">
        <w:rPr>
          <w:rFonts w:ascii="Helvetica" w:hAnsi="Helvetica" w:cs="Arial"/>
          <w:i/>
          <w:color w:val="000000"/>
          <w:sz w:val="20"/>
          <w:szCs w:val="20"/>
        </w:rPr>
        <w:t xml:space="preserve">In all cases, the program must limit the designations </w:t>
      </w:r>
      <w:r w:rsidR="002D5533" w:rsidRPr="00C77F4E">
        <w:rPr>
          <w:rFonts w:ascii="Helvetica" w:hAnsi="Helvetica" w:cs="Arial"/>
          <w:i/>
          <w:color w:val="000000"/>
          <w:sz w:val="20"/>
          <w:szCs w:val="20"/>
        </w:rPr>
        <w:t xml:space="preserve">to the </w:t>
      </w:r>
      <w:r w:rsidRPr="00C77F4E">
        <w:rPr>
          <w:rFonts w:ascii="Helvetica" w:hAnsi="Helvetica" w:cs="Arial"/>
          <w:i/>
          <w:color w:val="000000"/>
          <w:sz w:val="20"/>
          <w:szCs w:val="20"/>
        </w:rPr>
        <w:t xml:space="preserve">2-3 cells </w:t>
      </w:r>
      <w:r w:rsidR="002D5533" w:rsidRPr="00C77F4E">
        <w:rPr>
          <w:rFonts w:ascii="Helvetica" w:hAnsi="Helvetica" w:cs="Arial"/>
          <w:i/>
          <w:color w:val="000000"/>
          <w:sz w:val="20"/>
          <w:szCs w:val="20"/>
        </w:rPr>
        <w:t xml:space="preserve">that </w:t>
      </w:r>
      <w:r w:rsidRPr="00C77F4E">
        <w:rPr>
          <w:rFonts w:ascii="Helvetica" w:hAnsi="Helvetica" w:cs="Arial"/>
          <w:i/>
          <w:color w:val="000000"/>
          <w:sz w:val="20"/>
          <w:szCs w:val="20"/>
        </w:rPr>
        <w:t xml:space="preserve">point to the </w:t>
      </w:r>
      <w:r w:rsidR="002D5533" w:rsidRPr="00C77F4E">
        <w:rPr>
          <w:rFonts w:ascii="Helvetica" w:hAnsi="Helvetica" w:cs="Arial"/>
          <w:i/>
          <w:color w:val="000000"/>
          <w:sz w:val="20"/>
          <w:szCs w:val="20"/>
        </w:rPr>
        <w:t xml:space="preserve">courses in which the </w:t>
      </w:r>
      <w:r w:rsidRPr="00C77F4E">
        <w:rPr>
          <w:rFonts w:ascii="Helvetica" w:hAnsi="Helvetica" w:cs="Arial"/>
          <w:i/>
          <w:color w:val="000000"/>
          <w:sz w:val="20"/>
          <w:szCs w:val="20"/>
        </w:rPr>
        <w:t xml:space="preserve">greatest evidence of student </w:t>
      </w:r>
      <w:r w:rsidR="002D5533" w:rsidRPr="00C77F4E">
        <w:rPr>
          <w:rFonts w:ascii="Helvetica" w:hAnsi="Helvetica" w:cs="Arial"/>
          <w:i/>
          <w:color w:val="000000"/>
          <w:sz w:val="20"/>
          <w:szCs w:val="20"/>
        </w:rPr>
        <w:t xml:space="preserve">achievement is expected to be found. </w:t>
      </w:r>
      <w:r w:rsidRPr="00C77F4E">
        <w:rPr>
          <w:rFonts w:ascii="Helvetica" w:hAnsi="Helvetica" w:cs="Arial"/>
          <w:i/>
          <w:color w:val="000000"/>
          <w:sz w:val="20"/>
          <w:szCs w:val="20"/>
        </w:rPr>
        <w:t>(For a sample matrix, see Appendix 4)</w:t>
      </w:r>
    </w:p>
    <w:p w14:paraId="0C6EF73F" w14:textId="34CD7AE3" w:rsidR="002F74D9" w:rsidRPr="00C77F4E" w:rsidRDefault="002F74D9" w:rsidP="002F74D9">
      <w:pPr>
        <w:widowControl w:val="0"/>
        <w:tabs>
          <w:tab w:val="left" w:pos="-1080"/>
          <w:tab w:val="left" w:pos="-720"/>
        </w:tabs>
        <w:autoSpaceDE w:val="0"/>
        <w:autoSpaceDN w:val="0"/>
        <w:adjustRightInd w:val="0"/>
        <w:spacing w:after="120" w:line="240" w:lineRule="auto"/>
        <w:ind w:left="720"/>
        <w:rPr>
          <w:rFonts w:ascii="Helvetica" w:hAnsi="Helvetica" w:cs="Arial"/>
          <w:i/>
          <w:color w:val="000000"/>
          <w:sz w:val="20"/>
          <w:szCs w:val="20"/>
        </w:rPr>
      </w:pPr>
      <w:r w:rsidRPr="00C77F4E">
        <w:rPr>
          <w:rFonts w:ascii="Helvetica" w:hAnsi="Helvetica" w:cs="Arial"/>
          <w:i/>
          <w:sz w:val="20"/>
          <w:szCs w:val="20"/>
        </w:rPr>
        <w:t>[NOTE: Elective courses are not to</w:t>
      </w:r>
      <w:r w:rsidRPr="00C77F4E">
        <w:rPr>
          <w:rFonts w:ascii="Helvetica" w:hAnsi="Helvetica" w:cs="Arial"/>
          <w:i/>
          <w:color w:val="0000FF"/>
          <w:sz w:val="20"/>
          <w:szCs w:val="20"/>
        </w:rPr>
        <w:t xml:space="preserve"> </w:t>
      </w:r>
      <w:r w:rsidRPr="00C77F4E">
        <w:rPr>
          <w:rFonts w:ascii="Helvetica" w:hAnsi="Helvetica" w:cs="Arial"/>
          <w:i/>
          <w:color w:val="000000"/>
          <w:sz w:val="20"/>
          <w:szCs w:val="20"/>
        </w:rPr>
        <w:t>be included on the matrix.]</w:t>
      </w:r>
    </w:p>
    <w:p w14:paraId="46EA858D" w14:textId="6CA18CE3" w:rsidR="002F74D9" w:rsidRPr="00C77F4E" w:rsidRDefault="002F74D9" w:rsidP="002F74D9">
      <w:pPr>
        <w:pStyle w:val="ListParagraph"/>
        <w:numPr>
          <w:ilvl w:val="0"/>
          <w:numId w:val="6"/>
        </w:numPr>
        <w:spacing w:after="120" w:line="240" w:lineRule="auto"/>
        <w:rPr>
          <w:rFonts w:ascii="Helvetica" w:hAnsi="Helvetica"/>
          <w:i/>
          <w:sz w:val="21"/>
          <w:szCs w:val="21"/>
        </w:rPr>
      </w:pPr>
      <w:r w:rsidRPr="00C77F4E">
        <w:rPr>
          <w:rFonts w:ascii="Helvetica" w:hAnsi="Helvetica" w:cs="Arial"/>
          <w:i/>
          <w:sz w:val="20"/>
          <w:szCs w:val="20"/>
        </w:rPr>
        <w:t>A brief description of the pedagogy and methodology used to address Realm C.</w:t>
      </w:r>
    </w:p>
    <w:p w14:paraId="1AB1951D" w14:textId="59A47932" w:rsidR="002F74D9" w:rsidRPr="00C77F4E" w:rsidRDefault="002F74D9" w:rsidP="002F74D9">
      <w:pPr>
        <w:pStyle w:val="ListParagraph"/>
        <w:widowControl w:val="0"/>
        <w:numPr>
          <w:ilvl w:val="0"/>
          <w:numId w:val="6"/>
        </w:numPr>
        <w:tabs>
          <w:tab w:val="left" w:pos="-1080"/>
          <w:tab w:val="left" w:pos="-720"/>
        </w:tabs>
        <w:autoSpaceDE w:val="0"/>
        <w:autoSpaceDN w:val="0"/>
        <w:adjustRightInd w:val="0"/>
        <w:spacing w:after="120" w:line="240" w:lineRule="auto"/>
        <w:rPr>
          <w:rFonts w:ascii="Helvetica" w:hAnsi="Helvetica" w:cs="Arial"/>
          <w:i/>
          <w:color w:val="000000"/>
          <w:sz w:val="20"/>
          <w:szCs w:val="20"/>
        </w:rPr>
      </w:pPr>
      <w:r w:rsidRPr="00C77F4E">
        <w:rPr>
          <w:rFonts w:ascii="Helvetica" w:hAnsi="Helvetica" w:cs="Arial"/>
          <w:i/>
          <w:color w:val="000000"/>
          <w:sz w:val="20"/>
          <w:szCs w:val="20"/>
        </w:rPr>
        <w:t>A brief description of the methodology for assessing student work (i.e., “high” v. “low” pass).</w:t>
      </w:r>
    </w:p>
    <w:p w14:paraId="7E24D337" w14:textId="458FEF21" w:rsidR="00774FF8" w:rsidRPr="00C77F4E" w:rsidRDefault="00DE5513" w:rsidP="002F5349">
      <w:pPr>
        <w:widowControl w:val="0"/>
        <w:tabs>
          <w:tab w:val="left" w:pos="-1080"/>
          <w:tab w:val="left" w:pos="-720"/>
        </w:tabs>
        <w:autoSpaceDE w:val="0"/>
        <w:autoSpaceDN w:val="0"/>
        <w:adjustRightInd w:val="0"/>
        <w:spacing w:after="120" w:line="240" w:lineRule="auto"/>
        <w:ind w:left="180"/>
        <w:rPr>
          <w:rFonts w:ascii="Helvetica" w:hAnsi="Helvetica" w:cs="Arial"/>
          <w:color w:val="1F497D" w:themeColor="text2"/>
          <w:sz w:val="20"/>
          <w:szCs w:val="20"/>
        </w:rPr>
      </w:pPr>
      <w:r w:rsidRPr="00C77F4E">
        <w:rPr>
          <w:rFonts w:ascii="Helvetica" w:hAnsi="Helvetica" w:cs="Arial"/>
          <w:i/>
          <w:color w:val="1F497D" w:themeColor="text2"/>
          <w:sz w:val="20"/>
          <w:szCs w:val="20"/>
        </w:rPr>
        <w:t>Notes on Student Performance Criter</w:t>
      </w:r>
      <w:r w:rsidR="008165DD" w:rsidRPr="00C77F4E">
        <w:rPr>
          <w:rFonts w:ascii="Helvetica" w:hAnsi="Helvetica" w:cs="Arial"/>
          <w:i/>
          <w:color w:val="1F497D" w:themeColor="text2"/>
          <w:sz w:val="20"/>
          <w:szCs w:val="20"/>
        </w:rPr>
        <w:t>i</w:t>
      </w:r>
      <w:r w:rsidRPr="00C77F4E">
        <w:rPr>
          <w:rFonts w:ascii="Helvetica" w:hAnsi="Helvetica" w:cs="Arial"/>
          <w:i/>
          <w:color w:val="1F497D" w:themeColor="text2"/>
          <w:sz w:val="20"/>
          <w:szCs w:val="20"/>
        </w:rPr>
        <w:t>a</w:t>
      </w:r>
      <w:r w:rsidR="00774FF8" w:rsidRPr="00C77F4E">
        <w:rPr>
          <w:rFonts w:ascii="Helvetica" w:hAnsi="Helvetica" w:cs="Arial"/>
          <w:color w:val="1F497D" w:themeColor="text2"/>
          <w:sz w:val="20"/>
          <w:szCs w:val="20"/>
        </w:rPr>
        <w:t>:</w:t>
      </w:r>
    </w:p>
    <w:p w14:paraId="65C7DFC9" w14:textId="7F4545B5" w:rsidR="00774FF8" w:rsidRPr="00C77F4E" w:rsidRDefault="00774FF8" w:rsidP="002F5349">
      <w:pPr>
        <w:widowControl w:val="0"/>
        <w:tabs>
          <w:tab w:val="left" w:pos="-1080"/>
          <w:tab w:val="left" w:pos="-720"/>
        </w:tabs>
        <w:autoSpaceDE w:val="0"/>
        <w:autoSpaceDN w:val="0"/>
        <w:adjustRightInd w:val="0"/>
        <w:spacing w:after="120" w:line="240" w:lineRule="auto"/>
        <w:ind w:left="180"/>
        <w:rPr>
          <w:rFonts w:ascii="Helvetica" w:hAnsi="Helvetica" w:cs="Arial"/>
          <w:color w:val="1F497D" w:themeColor="text2"/>
          <w:sz w:val="20"/>
          <w:szCs w:val="20"/>
        </w:rPr>
      </w:pPr>
      <w:r w:rsidRPr="00C77F4E">
        <w:rPr>
          <w:rFonts w:ascii="Helvetica" w:hAnsi="Helvetica" w:cs="Arial"/>
          <w:b/>
          <w:color w:val="1F497D" w:themeColor="text2"/>
          <w:sz w:val="20"/>
          <w:szCs w:val="20"/>
        </w:rPr>
        <w:t>A.3</w:t>
      </w:r>
      <w:r w:rsidR="00E434F7" w:rsidRPr="00C77F4E">
        <w:rPr>
          <w:rFonts w:ascii="Helvetica" w:hAnsi="Helvetica" w:cs="Arial"/>
          <w:b/>
          <w:color w:val="1F497D" w:themeColor="text2"/>
          <w:sz w:val="20"/>
          <w:szCs w:val="20"/>
        </w:rPr>
        <w:t xml:space="preserve"> Investigative Skills</w:t>
      </w:r>
      <w:r w:rsidRPr="00C77F4E">
        <w:rPr>
          <w:rFonts w:ascii="Helvetica" w:hAnsi="Helvetica" w:cs="Arial"/>
          <w:color w:val="1F497D" w:themeColor="text2"/>
          <w:sz w:val="20"/>
          <w:szCs w:val="20"/>
        </w:rPr>
        <w:t>: This SPC refers specifically to investigative skills rather than to the broader definition of research or scholarship. The intent is to ensure that students are able to identify, find, select, and use the full range of information re</w:t>
      </w:r>
      <w:r w:rsidR="00E434F7" w:rsidRPr="00C77F4E">
        <w:rPr>
          <w:rFonts w:ascii="Helvetica" w:hAnsi="Helvetica" w:cs="Arial"/>
          <w:color w:val="1F497D" w:themeColor="text2"/>
          <w:sz w:val="20"/>
          <w:szCs w:val="20"/>
        </w:rPr>
        <w:t>sources available to them.</w:t>
      </w:r>
      <w:r w:rsidRPr="00C77F4E">
        <w:rPr>
          <w:rFonts w:ascii="Helvetica" w:hAnsi="Helvetica" w:cs="Arial"/>
          <w:color w:val="1F497D" w:themeColor="text2"/>
          <w:sz w:val="20"/>
          <w:szCs w:val="20"/>
        </w:rPr>
        <w:t xml:space="preserve"> </w:t>
      </w:r>
    </w:p>
    <w:p w14:paraId="20AF4F15" w14:textId="21089D40" w:rsidR="00E434F7" w:rsidRPr="00C77F4E" w:rsidRDefault="00774FF8" w:rsidP="005055B0">
      <w:pPr>
        <w:widowControl w:val="0"/>
        <w:tabs>
          <w:tab w:val="left" w:pos="-1080"/>
          <w:tab w:val="left" w:pos="-720"/>
        </w:tabs>
        <w:autoSpaceDE w:val="0"/>
        <w:autoSpaceDN w:val="0"/>
        <w:adjustRightInd w:val="0"/>
        <w:spacing w:after="120" w:line="240" w:lineRule="auto"/>
        <w:ind w:left="180"/>
        <w:rPr>
          <w:rFonts w:ascii="Helvetica" w:hAnsi="Helvetica" w:cs="Arial"/>
          <w:color w:val="1F497D" w:themeColor="text2"/>
          <w:sz w:val="20"/>
          <w:szCs w:val="20"/>
        </w:rPr>
      </w:pPr>
      <w:r w:rsidRPr="00C77F4E">
        <w:rPr>
          <w:rFonts w:ascii="Helvetica" w:hAnsi="Helvetica" w:cs="Arial"/>
          <w:b/>
          <w:color w:val="1F497D" w:themeColor="text2"/>
          <w:sz w:val="20"/>
          <w:szCs w:val="20"/>
        </w:rPr>
        <w:t>B.3</w:t>
      </w:r>
      <w:r w:rsidR="00E434F7" w:rsidRPr="00C77F4E">
        <w:rPr>
          <w:rFonts w:ascii="Helvetica" w:hAnsi="Helvetica" w:cs="Arial"/>
          <w:b/>
          <w:color w:val="1F497D" w:themeColor="text2"/>
          <w:sz w:val="20"/>
          <w:szCs w:val="20"/>
        </w:rPr>
        <w:t xml:space="preserve"> Codes and Regulations</w:t>
      </w:r>
      <w:r w:rsidR="00E434F7" w:rsidRPr="00C77F4E">
        <w:rPr>
          <w:rFonts w:ascii="Helvetica" w:hAnsi="Helvetica" w:cs="Arial"/>
          <w:color w:val="1F497D" w:themeColor="text2"/>
          <w:sz w:val="20"/>
          <w:szCs w:val="20"/>
        </w:rPr>
        <w:t>:</w:t>
      </w:r>
      <w:r w:rsidRPr="00C77F4E">
        <w:rPr>
          <w:rFonts w:ascii="Helvetica" w:hAnsi="Helvetica" w:cs="Arial"/>
          <w:color w:val="1F497D" w:themeColor="text2"/>
          <w:sz w:val="20"/>
          <w:szCs w:val="20"/>
        </w:rPr>
        <w:t xml:space="preserve"> </w:t>
      </w:r>
      <w:r w:rsidR="00E434F7" w:rsidRPr="00C77F4E">
        <w:rPr>
          <w:rFonts w:ascii="Helvetica" w:hAnsi="Helvetica" w:cs="Arial"/>
          <w:color w:val="1F497D" w:themeColor="text2"/>
          <w:sz w:val="20"/>
          <w:szCs w:val="20"/>
        </w:rPr>
        <w:t>It is not the intent of this SPC to be a complete checklist of codes that students have mastered. Rather, students must demonstrate the ability to incorporate the fundamentals of multiple codes.</w:t>
      </w:r>
    </w:p>
    <w:p w14:paraId="3235008A" w14:textId="516528E1" w:rsidR="0042188B" w:rsidRPr="00C77F4E" w:rsidRDefault="0042188B" w:rsidP="005055B0">
      <w:pPr>
        <w:widowControl w:val="0"/>
        <w:tabs>
          <w:tab w:val="left" w:pos="-1080"/>
          <w:tab w:val="left" w:pos="-720"/>
        </w:tabs>
        <w:autoSpaceDE w:val="0"/>
        <w:autoSpaceDN w:val="0"/>
        <w:adjustRightInd w:val="0"/>
        <w:spacing w:after="120" w:line="240" w:lineRule="auto"/>
        <w:ind w:left="180"/>
        <w:rPr>
          <w:rFonts w:ascii="Helvetica" w:hAnsi="Helvetica" w:cs="Arial"/>
          <w:color w:val="1F497D" w:themeColor="text2"/>
          <w:sz w:val="20"/>
          <w:szCs w:val="20"/>
        </w:rPr>
      </w:pPr>
      <w:r w:rsidRPr="00C77F4E">
        <w:rPr>
          <w:rFonts w:ascii="Helvetica" w:hAnsi="Helvetica" w:cs="Arial"/>
          <w:b/>
          <w:color w:val="1F497D" w:themeColor="text2"/>
          <w:sz w:val="20"/>
          <w:szCs w:val="20"/>
        </w:rPr>
        <w:t>C.1</w:t>
      </w:r>
      <w:r w:rsidR="004201CF" w:rsidRPr="00C77F4E">
        <w:rPr>
          <w:rFonts w:ascii="Helvetica" w:hAnsi="Helvetica" w:cs="Arial"/>
          <w:b/>
          <w:color w:val="1F497D" w:themeColor="text2"/>
          <w:sz w:val="20"/>
          <w:szCs w:val="20"/>
        </w:rPr>
        <w:t xml:space="preserve"> Research</w:t>
      </w:r>
      <w:r w:rsidRPr="00C77F4E">
        <w:rPr>
          <w:rFonts w:ascii="Helvetica" w:hAnsi="Helvetica" w:cs="Arial"/>
          <w:b/>
          <w:color w:val="1F497D" w:themeColor="text2"/>
          <w:sz w:val="20"/>
          <w:szCs w:val="20"/>
        </w:rPr>
        <w:t>:</w:t>
      </w:r>
      <w:r w:rsidR="00774FF8" w:rsidRPr="00C77F4E">
        <w:rPr>
          <w:rFonts w:ascii="Helvetica" w:hAnsi="Helvetica" w:cs="Arial"/>
          <w:color w:val="1F497D" w:themeColor="text2"/>
          <w:sz w:val="20"/>
          <w:szCs w:val="20"/>
        </w:rPr>
        <w:t xml:space="preserve"> The purpose of the SPC is for students to demonstrate their understanding of the many methods of research and study that may be used in the course of identifying and selecting solutions to the problems encountered in a complex architectural project. </w:t>
      </w:r>
    </w:p>
    <w:p w14:paraId="620273B3" w14:textId="4A557F3E" w:rsidR="00620FE8" w:rsidRPr="00C77F4E" w:rsidRDefault="00620FE8" w:rsidP="00620FE8">
      <w:pPr>
        <w:spacing w:after="120" w:line="240" w:lineRule="auto"/>
        <w:ind w:left="187"/>
        <w:rPr>
          <w:rFonts w:ascii="Helvetica" w:hAnsi="Helvetica" w:cs="Arial"/>
          <w:color w:val="1F497D" w:themeColor="text2"/>
          <w:sz w:val="20"/>
          <w:szCs w:val="20"/>
        </w:rPr>
      </w:pPr>
      <w:r w:rsidRPr="00C77F4E">
        <w:rPr>
          <w:rFonts w:ascii="Helvetica" w:hAnsi="Helvetica" w:cs="Arial"/>
          <w:b/>
          <w:color w:val="1F497D" w:themeColor="text2"/>
          <w:sz w:val="20"/>
          <w:szCs w:val="20"/>
        </w:rPr>
        <w:t>C.3 Integrative Design.</w:t>
      </w:r>
      <w:r w:rsidRPr="00C77F4E">
        <w:rPr>
          <w:rFonts w:ascii="Helvetica" w:hAnsi="Helvetica" w:cs="Arial"/>
          <w:color w:val="1F497D" w:themeColor="text2"/>
          <w:sz w:val="20"/>
          <w:szCs w:val="20"/>
        </w:rPr>
        <w:t xml:space="preserve"> This SPC requires students to demonstrate the integrative thinking and application of technical knowledge and design skills that shape complex design and technical solutions.  </w:t>
      </w:r>
    </w:p>
    <w:p w14:paraId="131D7A8A" w14:textId="35179F92" w:rsidR="00620FE8" w:rsidRPr="00C77F4E" w:rsidRDefault="00620FE8" w:rsidP="00620FE8">
      <w:pPr>
        <w:spacing w:after="120" w:line="240" w:lineRule="auto"/>
        <w:ind w:left="187"/>
        <w:rPr>
          <w:rFonts w:ascii="Helvetica" w:hAnsi="Helvetica" w:cs="Arial"/>
          <w:color w:val="1F497D" w:themeColor="text2"/>
          <w:sz w:val="20"/>
          <w:szCs w:val="20"/>
        </w:rPr>
      </w:pPr>
      <w:r w:rsidRPr="00C77F4E">
        <w:rPr>
          <w:rFonts w:ascii="Helvetica" w:hAnsi="Helvetica" w:cs="Arial"/>
          <w:color w:val="1F497D" w:themeColor="text2"/>
          <w:sz w:val="20"/>
          <w:szCs w:val="20"/>
        </w:rPr>
        <w:t xml:space="preserve">The student work must demonstrate the ability to resolve the multiple demands of site, program, codes, environmental stewardship, and building systems through a rigorous process of decision making and </w:t>
      </w:r>
      <w:r w:rsidR="002E480F" w:rsidRPr="00C77F4E">
        <w:rPr>
          <w:rFonts w:ascii="Helvetica" w:hAnsi="Helvetica" w:cs="Arial"/>
          <w:color w:val="1F497D" w:themeColor="text2"/>
          <w:sz w:val="20"/>
          <w:szCs w:val="20"/>
        </w:rPr>
        <w:t xml:space="preserve">then </w:t>
      </w:r>
      <w:r w:rsidRPr="00C77F4E">
        <w:rPr>
          <w:rFonts w:ascii="Helvetica" w:hAnsi="Helvetica" w:cs="Arial"/>
          <w:color w:val="1F497D" w:themeColor="text2"/>
          <w:sz w:val="20"/>
          <w:szCs w:val="20"/>
        </w:rPr>
        <w:t>to document or represent their choices accurately.</w:t>
      </w:r>
    </w:p>
    <w:p w14:paraId="6CF2B1CF" w14:textId="5F4F3856" w:rsidR="00620FE8" w:rsidRPr="00C77F4E" w:rsidRDefault="00620FE8" w:rsidP="00620FE8">
      <w:pPr>
        <w:spacing w:after="120" w:line="240" w:lineRule="auto"/>
        <w:ind w:left="187"/>
        <w:rPr>
          <w:rFonts w:ascii="Helvetica" w:hAnsi="Helvetica" w:cs="Arial"/>
          <w:color w:val="1F497D" w:themeColor="text2"/>
          <w:sz w:val="20"/>
          <w:szCs w:val="20"/>
        </w:rPr>
      </w:pPr>
      <w:r w:rsidRPr="00C77F4E">
        <w:rPr>
          <w:rFonts w:ascii="Helvetica" w:hAnsi="Helvetica" w:cs="Arial"/>
          <w:color w:val="1F497D" w:themeColor="text2"/>
          <w:sz w:val="20"/>
          <w:szCs w:val="20"/>
        </w:rPr>
        <w:t xml:space="preserve">Programs are not required to demonstrate evidence of integration of all issues (i.e., environmental stewardship, technical documentation, accessibility, site conditions, life safety, environmental systems, structural systems, and building envelope systems and assemblies) </w:t>
      </w:r>
      <w:r w:rsidR="002E480F" w:rsidRPr="00C77F4E">
        <w:rPr>
          <w:rFonts w:ascii="Helvetica" w:hAnsi="Helvetica" w:cs="Arial"/>
          <w:color w:val="1F497D" w:themeColor="text2"/>
          <w:sz w:val="20"/>
          <w:szCs w:val="20"/>
        </w:rPr>
        <w:t xml:space="preserve">simultaneously </w:t>
      </w:r>
      <w:r w:rsidRPr="00C77F4E">
        <w:rPr>
          <w:rFonts w:ascii="Helvetica" w:hAnsi="Helvetica" w:cs="Arial"/>
          <w:color w:val="1F497D" w:themeColor="text2"/>
          <w:sz w:val="20"/>
          <w:szCs w:val="20"/>
        </w:rPr>
        <w:t>in single projects. However, students should carry out projects of sufficient complexity to achieve the learning outcomes of this SPC.</w:t>
      </w:r>
    </w:p>
    <w:p w14:paraId="359C3C73" w14:textId="77777777" w:rsidR="00620FE8" w:rsidRPr="00C77F4E" w:rsidRDefault="00620FE8" w:rsidP="00620FE8">
      <w:pPr>
        <w:spacing w:after="120" w:line="240" w:lineRule="auto"/>
        <w:ind w:left="187"/>
        <w:rPr>
          <w:rFonts w:ascii="Helvetica" w:hAnsi="Helvetica" w:cs="Arial"/>
          <w:color w:val="1F497D" w:themeColor="text2"/>
          <w:sz w:val="20"/>
          <w:szCs w:val="20"/>
        </w:rPr>
      </w:pPr>
      <w:r w:rsidRPr="00C77F4E">
        <w:rPr>
          <w:rFonts w:ascii="Helvetica" w:hAnsi="Helvetica" w:cs="Arial"/>
          <w:color w:val="1F497D" w:themeColor="text2"/>
          <w:sz w:val="20"/>
          <w:szCs w:val="20"/>
        </w:rPr>
        <w:t>Integrative design may be taught in single studios, or over multiple courses (e.g., a design studio coupled with a technical documentation course). Programs are encouraged to explore the best format for achieving this SPC. </w:t>
      </w:r>
    </w:p>
    <w:p w14:paraId="3494E635" w14:textId="7A47F024" w:rsidR="001733FF" w:rsidRPr="00C77F4E" w:rsidRDefault="001733FF" w:rsidP="002F5349">
      <w:pPr>
        <w:pStyle w:val="BodyTextIndent3"/>
        <w:tabs>
          <w:tab w:val="clear" w:pos="-1080"/>
          <w:tab w:val="clear" w:pos="-720"/>
          <w:tab w:val="clear" w:pos="0"/>
          <w:tab w:val="clear" w:pos="900"/>
          <w:tab w:val="clear" w:pos="1170"/>
          <w:tab w:val="clear" w:pos="1530"/>
          <w:tab w:val="clear" w:pos="3060"/>
          <w:tab w:val="clear" w:pos="4320"/>
        </w:tabs>
        <w:spacing w:after="120"/>
        <w:ind w:left="0"/>
        <w:outlineLvl w:val="1"/>
        <w:rPr>
          <w:rFonts w:ascii="Helvetica" w:hAnsi="Helvetica"/>
          <w:sz w:val="20"/>
          <w:szCs w:val="20"/>
        </w:rPr>
      </w:pPr>
      <w:bookmarkStart w:id="39" w:name="_Toc358370835"/>
      <w:bookmarkStart w:id="40" w:name="_Toc462758532"/>
      <w:r w:rsidRPr="00C77F4E">
        <w:rPr>
          <w:rFonts w:ascii="Helvetica" w:hAnsi="Helvetica"/>
          <w:b/>
          <w:sz w:val="20"/>
          <w:szCs w:val="20"/>
        </w:rPr>
        <w:t xml:space="preserve">II.2.1 </w:t>
      </w:r>
      <w:r w:rsidR="00D87775" w:rsidRPr="00C77F4E">
        <w:rPr>
          <w:rFonts w:ascii="Helvetica" w:hAnsi="Helvetica"/>
          <w:b/>
          <w:sz w:val="20"/>
          <w:szCs w:val="20"/>
        </w:rPr>
        <w:t>Institutional</w:t>
      </w:r>
      <w:r w:rsidRPr="00C77F4E">
        <w:rPr>
          <w:rFonts w:ascii="Helvetica" w:hAnsi="Helvetica"/>
          <w:b/>
          <w:sz w:val="20"/>
          <w:szCs w:val="20"/>
        </w:rPr>
        <w:t xml:space="preserve"> Accreditation</w:t>
      </w:r>
      <w:r w:rsidRPr="00C77F4E">
        <w:rPr>
          <w:rFonts w:ascii="Helvetica" w:hAnsi="Helvetica"/>
          <w:sz w:val="20"/>
          <w:szCs w:val="20"/>
        </w:rPr>
        <w:t>:</w:t>
      </w:r>
      <w:bookmarkEnd w:id="39"/>
      <w:bookmarkEnd w:id="40"/>
      <w:r w:rsidRPr="00C77F4E">
        <w:rPr>
          <w:rFonts w:ascii="Helvetica" w:hAnsi="Helvetica"/>
          <w:sz w:val="20"/>
          <w:szCs w:val="20"/>
        </w:rPr>
        <w:t xml:space="preserve"> </w:t>
      </w:r>
    </w:p>
    <w:p w14:paraId="4F505C64" w14:textId="77777777" w:rsidR="001733FF" w:rsidRPr="00C77F4E" w:rsidRDefault="001733FF" w:rsidP="002F5349">
      <w:pPr>
        <w:spacing w:after="120" w:line="240" w:lineRule="auto"/>
        <w:rPr>
          <w:rFonts w:ascii="Helvetica" w:hAnsi="Helvetica" w:cs="Arial"/>
          <w:i/>
          <w:sz w:val="20"/>
          <w:szCs w:val="20"/>
        </w:rPr>
      </w:pPr>
      <w:r w:rsidRPr="00C77F4E">
        <w:rPr>
          <w:rFonts w:ascii="Helvetica" w:hAnsi="Helvetica" w:cs="Arial"/>
          <w:i/>
          <w:sz w:val="20"/>
          <w:szCs w:val="20"/>
        </w:rPr>
        <w:t>The APR must include a copy of the most recent letter from the regional accrediting commission/agency regarding the institution’s term of accreditation.</w:t>
      </w:r>
    </w:p>
    <w:p w14:paraId="01A785BA" w14:textId="5CB499CA" w:rsidR="00B6768B" w:rsidRPr="00C77F4E" w:rsidRDefault="00B6768B" w:rsidP="002F5349">
      <w:pPr>
        <w:spacing w:after="120" w:line="240" w:lineRule="auto"/>
        <w:rPr>
          <w:rFonts w:ascii="Helvetica" w:hAnsi="Helvetica" w:cs="Arial"/>
          <w:i/>
          <w:sz w:val="20"/>
          <w:szCs w:val="20"/>
        </w:rPr>
      </w:pPr>
      <w:r w:rsidRPr="00C77F4E">
        <w:rPr>
          <w:rFonts w:ascii="Helvetica" w:hAnsi="Helvetica" w:cs="Arial"/>
          <w:i/>
          <w:sz w:val="20"/>
          <w:szCs w:val="20"/>
        </w:rPr>
        <w:t>Programs located outside the U.S. seeking accreditation of a professional degree in architecture</w:t>
      </w:r>
      <w:r w:rsidR="005055B0" w:rsidRPr="00C77F4E">
        <w:rPr>
          <w:rFonts w:ascii="Helvetica" w:hAnsi="Helvetica" w:cs="Arial"/>
          <w:i/>
          <w:sz w:val="20"/>
          <w:szCs w:val="20"/>
        </w:rPr>
        <w:t xml:space="preserve"> must </w:t>
      </w:r>
      <w:r w:rsidRPr="00C77F4E">
        <w:rPr>
          <w:rFonts w:ascii="Helvetica" w:hAnsi="Helvetica" w:cs="Arial"/>
          <w:i/>
          <w:sz w:val="20"/>
          <w:szCs w:val="20"/>
        </w:rPr>
        <w:t xml:space="preserve">contact the NAAB at </w:t>
      </w:r>
      <w:hyperlink r:id="rId13" w:history="1">
        <w:r w:rsidRPr="00C77F4E">
          <w:rPr>
            <w:rStyle w:val="Hyperlink"/>
            <w:rFonts w:ascii="Helvetica" w:hAnsi="Helvetica" w:cs="Arial"/>
            <w:i/>
            <w:sz w:val="20"/>
            <w:szCs w:val="20"/>
          </w:rPr>
          <w:t>info@naab.org</w:t>
        </w:r>
      </w:hyperlink>
      <w:r w:rsidRPr="00C77F4E">
        <w:rPr>
          <w:rFonts w:ascii="Helvetica" w:hAnsi="Helvetica" w:cs="Arial"/>
          <w:i/>
          <w:sz w:val="20"/>
          <w:szCs w:val="20"/>
        </w:rPr>
        <w:t xml:space="preserve"> to determine what documentation will be required regarding the quality assurance agency which has jurisdiction over the institution.</w:t>
      </w:r>
    </w:p>
    <w:p w14:paraId="58F539B3" w14:textId="77777777" w:rsidR="001733FF" w:rsidRPr="00C77F4E" w:rsidRDefault="001733FF" w:rsidP="002F5349">
      <w:pPr>
        <w:pStyle w:val="BodyTextIndent3"/>
        <w:tabs>
          <w:tab w:val="clear" w:pos="-1080"/>
          <w:tab w:val="clear" w:pos="-720"/>
          <w:tab w:val="clear" w:pos="0"/>
          <w:tab w:val="clear" w:pos="900"/>
          <w:tab w:val="clear" w:pos="1170"/>
          <w:tab w:val="clear" w:pos="1530"/>
          <w:tab w:val="clear" w:pos="3060"/>
          <w:tab w:val="clear" w:pos="4320"/>
        </w:tabs>
        <w:spacing w:after="120"/>
        <w:ind w:left="0"/>
        <w:outlineLvl w:val="1"/>
        <w:rPr>
          <w:rFonts w:ascii="Helvetica" w:hAnsi="Helvetica"/>
          <w:sz w:val="20"/>
          <w:szCs w:val="20"/>
        </w:rPr>
      </w:pPr>
      <w:bookmarkStart w:id="41" w:name="_Toc358370836"/>
      <w:bookmarkStart w:id="42" w:name="_Toc462758533"/>
      <w:r w:rsidRPr="00C77F4E">
        <w:rPr>
          <w:rFonts w:ascii="Helvetica" w:hAnsi="Helvetica"/>
          <w:b/>
          <w:sz w:val="20"/>
          <w:szCs w:val="20"/>
        </w:rPr>
        <w:t>II.2.2 Professional Degrees and Curriculum</w:t>
      </w:r>
      <w:r w:rsidRPr="00C77F4E">
        <w:rPr>
          <w:rFonts w:ascii="Helvetica" w:hAnsi="Helvetica"/>
          <w:sz w:val="20"/>
          <w:szCs w:val="20"/>
        </w:rPr>
        <w:t>:</w:t>
      </w:r>
      <w:bookmarkEnd w:id="41"/>
      <w:bookmarkEnd w:id="42"/>
      <w:r w:rsidRPr="00C77F4E">
        <w:rPr>
          <w:rFonts w:ascii="Helvetica" w:hAnsi="Helvetica"/>
          <w:sz w:val="20"/>
          <w:szCs w:val="20"/>
        </w:rPr>
        <w:t xml:space="preserve"> </w:t>
      </w:r>
    </w:p>
    <w:p w14:paraId="52B36BE8" w14:textId="77777777" w:rsidR="001733FF" w:rsidRPr="00C77F4E" w:rsidRDefault="001733FF" w:rsidP="002F5349">
      <w:pPr>
        <w:spacing w:after="120" w:line="240" w:lineRule="auto"/>
        <w:rPr>
          <w:rFonts w:ascii="Helvetica" w:hAnsi="Helvetica" w:cs="Arial"/>
          <w:i/>
          <w:color w:val="000000"/>
          <w:sz w:val="20"/>
          <w:szCs w:val="20"/>
        </w:rPr>
      </w:pPr>
      <w:r w:rsidRPr="00C77F4E">
        <w:rPr>
          <w:rFonts w:ascii="Helvetica" w:hAnsi="Helvetica" w:cs="Arial"/>
          <w:i/>
          <w:color w:val="000000"/>
          <w:sz w:val="20"/>
          <w:szCs w:val="20"/>
        </w:rPr>
        <w:t xml:space="preserve">The </w:t>
      </w:r>
      <w:r w:rsidRPr="00C77F4E">
        <w:rPr>
          <w:rFonts w:ascii="Helvetica" w:hAnsi="Helvetica" w:cs="Arial"/>
          <w:i/>
          <w:iCs/>
          <w:color w:val="000000"/>
          <w:sz w:val="20"/>
          <w:szCs w:val="20"/>
        </w:rPr>
        <w:t>APR</w:t>
      </w:r>
      <w:r w:rsidRPr="00C77F4E">
        <w:rPr>
          <w:rFonts w:ascii="Helvetica" w:hAnsi="Helvetica" w:cs="Arial"/>
          <w:i/>
          <w:color w:val="000000"/>
          <w:sz w:val="20"/>
          <w:szCs w:val="20"/>
        </w:rPr>
        <w:t xml:space="preserve"> must include the following:</w:t>
      </w:r>
    </w:p>
    <w:p w14:paraId="483F81FE" w14:textId="77777777" w:rsidR="001733FF" w:rsidRPr="00C77F4E" w:rsidRDefault="001733FF" w:rsidP="002F5349">
      <w:pPr>
        <w:widowControl w:val="0"/>
        <w:numPr>
          <w:ilvl w:val="0"/>
          <w:numId w:val="15"/>
        </w:numPr>
        <w:tabs>
          <w:tab w:val="clear" w:pos="720"/>
          <w:tab w:val="left" w:pos="-1080"/>
          <w:tab w:val="left" w:pos="-720"/>
        </w:tabs>
        <w:autoSpaceDE w:val="0"/>
        <w:autoSpaceDN w:val="0"/>
        <w:adjustRightInd w:val="0"/>
        <w:spacing w:after="120" w:line="240" w:lineRule="auto"/>
        <w:ind w:left="450" w:hanging="270"/>
        <w:rPr>
          <w:rFonts w:ascii="Helvetica" w:hAnsi="Helvetica" w:cs="Arial"/>
          <w:i/>
          <w:color w:val="000000"/>
          <w:sz w:val="20"/>
          <w:szCs w:val="20"/>
        </w:rPr>
      </w:pPr>
      <w:r w:rsidRPr="00C77F4E">
        <w:rPr>
          <w:rFonts w:ascii="Helvetica" w:hAnsi="Helvetica" w:cs="Arial"/>
          <w:i/>
          <w:color w:val="000000"/>
          <w:sz w:val="20"/>
          <w:szCs w:val="20"/>
        </w:rPr>
        <w:t xml:space="preserve">Title(s) of the degree(s) offered including any prerequisite degree(s) or other preparatory education and the total number of credits earned for the NAAB-accredited degree or track for completing the NAAB-accredited degree. </w:t>
      </w:r>
    </w:p>
    <w:p w14:paraId="476AB787" w14:textId="77777777" w:rsidR="001733FF" w:rsidRPr="00C77F4E" w:rsidRDefault="001733FF" w:rsidP="002F5349">
      <w:pPr>
        <w:widowControl w:val="0"/>
        <w:numPr>
          <w:ilvl w:val="0"/>
          <w:numId w:val="15"/>
        </w:numPr>
        <w:tabs>
          <w:tab w:val="clear" w:pos="720"/>
          <w:tab w:val="left" w:pos="-1080"/>
          <w:tab w:val="left" w:pos="-720"/>
        </w:tabs>
        <w:autoSpaceDE w:val="0"/>
        <w:autoSpaceDN w:val="0"/>
        <w:adjustRightInd w:val="0"/>
        <w:spacing w:after="120" w:line="240" w:lineRule="auto"/>
        <w:ind w:left="450" w:hanging="270"/>
        <w:rPr>
          <w:rFonts w:ascii="Helvetica" w:hAnsi="Helvetica" w:cs="Arial"/>
          <w:i/>
          <w:color w:val="000000"/>
          <w:sz w:val="20"/>
          <w:szCs w:val="20"/>
        </w:rPr>
      </w:pPr>
      <w:r w:rsidRPr="00C77F4E">
        <w:rPr>
          <w:rFonts w:ascii="Helvetica" w:hAnsi="Helvetica" w:cs="Arial"/>
          <w:i/>
          <w:color w:val="000000"/>
          <w:sz w:val="20"/>
          <w:szCs w:val="20"/>
        </w:rPr>
        <w:t>For each accredited degree program offered or track for completing the NAAB-accredited degree the program must provide the following:</w:t>
      </w:r>
    </w:p>
    <w:p w14:paraId="640F901B" w14:textId="77777777" w:rsidR="001733FF" w:rsidRPr="00C77F4E" w:rsidRDefault="001733FF" w:rsidP="002F5349">
      <w:pPr>
        <w:widowControl w:val="0"/>
        <w:numPr>
          <w:ilvl w:val="1"/>
          <w:numId w:val="15"/>
        </w:numPr>
        <w:tabs>
          <w:tab w:val="left" w:pos="-1080"/>
          <w:tab w:val="left" w:pos="-720"/>
        </w:tabs>
        <w:autoSpaceDE w:val="0"/>
        <w:autoSpaceDN w:val="0"/>
        <w:adjustRightInd w:val="0"/>
        <w:spacing w:after="120" w:line="240" w:lineRule="auto"/>
        <w:rPr>
          <w:rFonts w:ascii="Helvetica" w:hAnsi="Helvetica" w:cs="Arial"/>
          <w:i/>
          <w:color w:val="000000"/>
          <w:sz w:val="20"/>
          <w:szCs w:val="20"/>
        </w:rPr>
      </w:pPr>
      <w:r w:rsidRPr="00C77F4E">
        <w:rPr>
          <w:rFonts w:ascii="Helvetica" w:hAnsi="Helvetica" w:cs="Arial"/>
          <w:i/>
          <w:color w:val="000000"/>
          <w:sz w:val="20"/>
          <w:szCs w:val="20"/>
        </w:rPr>
        <w:t xml:space="preserve">A table showing the distribution of general studies, required professional studies, and </w:t>
      </w:r>
      <w:r w:rsidR="002D5533" w:rsidRPr="00C77F4E">
        <w:rPr>
          <w:rFonts w:ascii="Helvetica" w:hAnsi="Helvetica" w:cs="Arial"/>
          <w:i/>
          <w:color w:val="000000"/>
          <w:sz w:val="20"/>
          <w:szCs w:val="20"/>
        </w:rPr>
        <w:t xml:space="preserve">optional </w:t>
      </w:r>
      <w:r w:rsidRPr="00C77F4E">
        <w:rPr>
          <w:rFonts w:ascii="Helvetica" w:hAnsi="Helvetica" w:cs="Arial"/>
          <w:i/>
          <w:color w:val="000000"/>
          <w:sz w:val="20"/>
          <w:szCs w:val="20"/>
        </w:rPr>
        <w:t>studies.</w:t>
      </w:r>
    </w:p>
    <w:p w14:paraId="44184263" w14:textId="77777777" w:rsidR="001733FF" w:rsidRPr="00C77F4E" w:rsidRDefault="001733FF" w:rsidP="002F5349">
      <w:pPr>
        <w:widowControl w:val="0"/>
        <w:numPr>
          <w:ilvl w:val="1"/>
          <w:numId w:val="15"/>
        </w:numPr>
        <w:tabs>
          <w:tab w:val="left" w:pos="-1080"/>
          <w:tab w:val="left" w:pos="-720"/>
        </w:tabs>
        <w:autoSpaceDE w:val="0"/>
        <w:autoSpaceDN w:val="0"/>
        <w:adjustRightInd w:val="0"/>
        <w:spacing w:after="120" w:line="240" w:lineRule="auto"/>
        <w:rPr>
          <w:rFonts w:ascii="Helvetica" w:hAnsi="Helvetica" w:cs="Arial"/>
          <w:i/>
          <w:color w:val="000000"/>
          <w:sz w:val="20"/>
          <w:szCs w:val="20"/>
        </w:rPr>
      </w:pPr>
      <w:r w:rsidRPr="00C77F4E">
        <w:rPr>
          <w:rFonts w:ascii="Helvetica" w:hAnsi="Helvetica" w:cs="Arial"/>
          <w:i/>
          <w:color w:val="000000"/>
          <w:sz w:val="20"/>
          <w:szCs w:val="20"/>
        </w:rPr>
        <w:t>A list of the minors or concentrations students may elect to pursue for each accredited degree offered or track for comple</w:t>
      </w:r>
      <w:r w:rsidR="002D5533" w:rsidRPr="00C77F4E">
        <w:rPr>
          <w:rFonts w:ascii="Helvetica" w:hAnsi="Helvetica" w:cs="Arial"/>
          <w:i/>
          <w:color w:val="000000"/>
          <w:sz w:val="20"/>
          <w:szCs w:val="20"/>
        </w:rPr>
        <w:t>ting the NAAB-accredited degree.</w:t>
      </w:r>
    </w:p>
    <w:p w14:paraId="71B79CFD" w14:textId="77777777" w:rsidR="001733FF" w:rsidRPr="00C77F4E" w:rsidRDefault="001733FF" w:rsidP="002F5349">
      <w:pPr>
        <w:widowControl w:val="0"/>
        <w:numPr>
          <w:ilvl w:val="1"/>
          <w:numId w:val="15"/>
        </w:numPr>
        <w:tabs>
          <w:tab w:val="left" w:pos="-1080"/>
          <w:tab w:val="left" w:pos="-720"/>
        </w:tabs>
        <w:autoSpaceDE w:val="0"/>
        <w:autoSpaceDN w:val="0"/>
        <w:adjustRightInd w:val="0"/>
        <w:spacing w:after="120" w:line="240" w:lineRule="auto"/>
        <w:rPr>
          <w:rFonts w:ascii="Helvetica" w:hAnsi="Helvetica" w:cs="Arial"/>
          <w:i/>
          <w:color w:val="000000"/>
          <w:sz w:val="20"/>
          <w:szCs w:val="20"/>
        </w:rPr>
      </w:pPr>
      <w:r w:rsidRPr="00C77F4E">
        <w:rPr>
          <w:rFonts w:ascii="Helvetica" w:hAnsi="Helvetica" w:cs="Arial"/>
          <w:i/>
          <w:color w:val="000000"/>
          <w:sz w:val="20"/>
          <w:szCs w:val="20"/>
        </w:rPr>
        <w:t>A list of the minimum number of semester credit hours or the equivalent number of quarter credit hours required for each semester or quarter, respectively.</w:t>
      </w:r>
    </w:p>
    <w:p w14:paraId="2C0E8BA0" w14:textId="77777777" w:rsidR="001733FF" w:rsidRPr="00C77F4E" w:rsidRDefault="001733FF" w:rsidP="002F5349">
      <w:pPr>
        <w:widowControl w:val="0"/>
        <w:numPr>
          <w:ilvl w:val="1"/>
          <w:numId w:val="15"/>
        </w:numPr>
        <w:tabs>
          <w:tab w:val="left" w:pos="-1080"/>
          <w:tab w:val="left" w:pos="-720"/>
        </w:tabs>
        <w:autoSpaceDE w:val="0"/>
        <w:autoSpaceDN w:val="0"/>
        <w:adjustRightInd w:val="0"/>
        <w:spacing w:after="120" w:line="240" w:lineRule="auto"/>
        <w:rPr>
          <w:rFonts w:ascii="Helvetica" w:hAnsi="Helvetica" w:cs="Arial"/>
          <w:i/>
          <w:color w:val="000000"/>
          <w:sz w:val="20"/>
          <w:szCs w:val="20"/>
        </w:rPr>
      </w:pPr>
      <w:r w:rsidRPr="00C77F4E">
        <w:rPr>
          <w:rFonts w:ascii="Helvetica" w:hAnsi="Helvetica" w:cs="Arial"/>
          <w:i/>
          <w:color w:val="000000"/>
          <w:sz w:val="20"/>
          <w:szCs w:val="20"/>
        </w:rPr>
        <w:t>A list of off-campus programs, description of facilities and resources, course requirements, and length of stay.</w:t>
      </w:r>
    </w:p>
    <w:p w14:paraId="450F3A63" w14:textId="77777777" w:rsidR="001733FF" w:rsidRPr="00C77F4E" w:rsidRDefault="001733FF" w:rsidP="002F5349">
      <w:pPr>
        <w:widowControl w:val="0"/>
        <w:numPr>
          <w:ilvl w:val="0"/>
          <w:numId w:val="15"/>
        </w:numPr>
        <w:tabs>
          <w:tab w:val="clear" w:pos="720"/>
          <w:tab w:val="left" w:pos="-1080"/>
          <w:tab w:val="left" w:pos="-720"/>
        </w:tabs>
        <w:autoSpaceDE w:val="0"/>
        <w:autoSpaceDN w:val="0"/>
        <w:adjustRightInd w:val="0"/>
        <w:spacing w:after="120" w:line="240" w:lineRule="auto"/>
        <w:ind w:left="450" w:hanging="270"/>
        <w:rPr>
          <w:rFonts w:ascii="Helvetica" w:hAnsi="Helvetica" w:cs="Arial"/>
          <w:i/>
          <w:color w:val="000000"/>
          <w:sz w:val="20"/>
          <w:szCs w:val="20"/>
        </w:rPr>
      </w:pPr>
      <w:r w:rsidRPr="00C77F4E">
        <w:rPr>
          <w:rFonts w:ascii="Helvetica" w:hAnsi="Helvetica" w:cs="Arial"/>
          <w:i/>
          <w:color w:val="000000"/>
          <w:sz w:val="20"/>
          <w:szCs w:val="20"/>
        </w:rPr>
        <w:t>A list of other degree programs, if any, offered in the same administrative unit as the accredi</w:t>
      </w:r>
      <w:r w:rsidR="002D5533" w:rsidRPr="00C77F4E">
        <w:rPr>
          <w:rFonts w:ascii="Helvetica" w:hAnsi="Helvetica" w:cs="Arial"/>
          <w:i/>
          <w:color w:val="000000"/>
          <w:sz w:val="20"/>
          <w:szCs w:val="20"/>
        </w:rPr>
        <w:t>ted architecture degree program, especially preprofessional degrees in architecture and post-professional degrees.</w:t>
      </w:r>
    </w:p>
    <w:p w14:paraId="743FC9D1" w14:textId="1E1BA758" w:rsidR="001733FF" w:rsidRPr="00C77F4E" w:rsidRDefault="001733FF" w:rsidP="002F5349">
      <w:pPr>
        <w:widowControl w:val="0"/>
        <w:numPr>
          <w:ilvl w:val="0"/>
          <w:numId w:val="15"/>
        </w:numPr>
        <w:tabs>
          <w:tab w:val="clear" w:pos="720"/>
          <w:tab w:val="left" w:pos="-1080"/>
          <w:tab w:val="left" w:pos="-720"/>
        </w:tabs>
        <w:autoSpaceDE w:val="0"/>
        <w:autoSpaceDN w:val="0"/>
        <w:adjustRightInd w:val="0"/>
        <w:spacing w:after="120" w:line="240" w:lineRule="auto"/>
        <w:ind w:left="450" w:hanging="270"/>
        <w:rPr>
          <w:rFonts w:ascii="Helvetica" w:hAnsi="Helvetica" w:cs="Arial"/>
          <w:i/>
          <w:color w:val="000000"/>
          <w:sz w:val="20"/>
          <w:szCs w:val="20"/>
        </w:rPr>
      </w:pPr>
      <w:r w:rsidRPr="00C77F4E">
        <w:rPr>
          <w:rFonts w:ascii="Helvetica" w:hAnsi="Helvetica" w:cs="Arial"/>
          <w:i/>
          <w:sz w:val="20"/>
          <w:szCs w:val="20"/>
        </w:rPr>
        <w:t>Programs that use massive open online courses (MOOCs) or online learning formats to deliver SPC-related content or to meet other program or institutional requirements in tandem with traditional onsite learning must describe what effect, if any, MOOCs or online learning has on the curriculum.</w:t>
      </w:r>
      <w:r w:rsidR="00E95EC0" w:rsidRPr="00C77F4E">
        <w:rPr>
          <w:rFonts w:ascii="Helvetica" w:hAnsi="Helvetica" w:cs="Arial"/>
          <w:i/>
          <w:sz w:val="20"/>
          <w:szCs w:val="20"/>
        </w:rPr>
        <w:t xml:space="preserve"> </w:t>
      </w:r>
      <w:r w:rsidR="002E22DE" w:rsidRPr="00C77F4E">
        <w:rPr>
          <w:rFonts w:ascii="Helvetica" w:hAnsi="Helvetica" w:cs="Arial"/>
          <w:i/>
          <w:sz w:val="20"/>
          <w:szCs w:val="20"/>
        </w:rPr>
        <w:t>If MOOCs are used to meet any SPC, the program must provide a course binder and samples of student work just as if the course were delivered on campus or by the program,</w:t>
      </w:r>
    </w:p>
    <w:p w14:paraId="4E2E5FAB" w14:textId="25EF9723" w:rsidR="001733FF" w:rsidRPr="00C77F4E" w:rsidRDefault="001733FF" w:rsidP="002F5349">
      <w:pPr>
        <w:widowControl w:val="0"/>
        <w:numPr>
          <w:ilvl w:val="0"/>
          <w:numId w:val="15"/>
        </w:numPr>
        <w:tabs>
          <w:tab w:val="clear" w:pos="720"/>
          <w:tab w:val="left" w:pos="-1080"/>
          <w:tab w:val="left" w:pos="-720"/>
        </w:tabs>
        <w:autoSpaceDE w:val="0"/>
        <w:autoSpaceDN w:val="0"/>
        <w:adjustRightInd w:val="0"/>
        <w:spacing w:after="120" w:line="240" w:lineRule="auto"/>
        <w:ind w:left="450" w:hanging="270"/>
        <w:rPr>
          <w:rFonts w:ascii="Helvetica" w:hAnsi="Helvetica" w:cs="Arial"/>
          <w:i/>
          <w:color w:val="000000"/>
          <w:sz w:val="20"/>
          <w:szCs w:val="20"/>
        </w:rPr>
      </w:pPr>
      <w:r w:rsidRPr="00C77F4E">
        <w:rPr>
          <w:rFonts w:ascii="Helvetica" w:hAnsi="Helvetica" w:cs="Arial"/>
          <w:i/>
          <w:sz w:val="20"/>
          <w:szCs w:val="20"/>
        </w:rPr>
        <w:t xml:space="preserve">A description of the progress </w:t>
      </w:r>
      <w:r w:rsidR="005055B0" w:rsidRPr="00C77F4E">
        <w:rPr>
          <w:rFonts w:ascii="Helvetica" w:hAnsi="Helvetica" w:cs="Arial"/>
          <w:i/>
          <w:sz w:val="20"/>
          <w:szCs w:val="20"/>
        </w:rPr>
        <w:t xml:space="preserve">for </w:t>
      </w:r>
      <w:r w:rsidRPr="00C77F4E">
        <w:rPr>
          <w:rFonts w:ascii="Helvetica" w:hAnsi="Helvetica" w:cs="Arial"/>
          <w:i/>
          <w:sz w:val="20"/>
          <w:szCs w:val="20"/>
        </w:rPr>
        <w:t>changing the title of any non-accredited, post-professional degree that uses the degree title B. Arch., M. Arch. or D. Arch.</w:t>
      </w:r>
    </w:p>
    <w:p w14:paraId="64190FFD" w14:textId="04AB8B75" w:rsidR="001733FF" w:rsidRPr="00C77F4E" w:rsidRDefault="001733FF" w:rsidP="002F5349">
      <w:pPr>
        <w:pStyle w:val="Heading1"/>
        <w:spacing w:before="0" w:after="120" w:line="240" w:lineRule="auto"/>
        <w:rPr>
          <w:rFonts w:ascii="Helvetica" w:hAnsi="Helvetica" w:cs="Arial"/>
          <w:smallCaps/>
          <w:color w:val="auto"/>
          <w:sz w:val="20"/>
          <w:szCs w:val="20"/>
        </w:rPr>
      </w:pPr>
      <w:bookmarkStart w:id="43" w:name="_Toc358370838"/>
      <w:bookmarkStart w:id="44" w:name="_Toc462758534"/>
      <w:r w:rsidRPr="00C77F4E">
        <w:rPr>
          <w:rFonts w:ascii="Helvetica" w:hAnsi="Helvetica" w:cs="Arial"/>
          <w:smallCaps/>
          <w:color w:val="auto"/>
          <w:sz w:val="20"/>
          <w:szCs w:val="20"/>
        </w:rPr>
        <w:t>Part Two (II): Sectio</w:t>
      </w:r>
      <w:r w:rsidR="00315AAD" w:rsidRPr="00C77F4E">
        <w:rPr>
          <w:rFonts w:ascii="Helvetica" w:hAnsi="Helvetica" w:cs="Arial"/>
          <w:smallCaps/>
          <w:color w:val="auto"/>
          <w:sz w:val="20"/>
          <w:szCs w:val="20"/>
        </w:rPr>
        <w:t xml:space="preserve">n 3 – Evaluation of Preparatory </w:t>
      </w:r>
      <w:r w:rsidRPr="00C77F4E">
        <w:rPr>
          <w:rFonts w:ascii="Helvetica" w:hAnsi="Helvetica" w:cs="Arial"/>
          <w:smallCaps/>
          <w:color w:val="auto"/>
          <w:sz w:val="20"/>
          <w:szCs w:val="20"/>
        </w:rPr>
        <w:t>Education</w:t>
      </w:r>
      <w:bookmarkEnd w:id="43"/>
      <w:bookmarkEnd w:id="44"/>
    </w:p>
    <w:p w14:paraId="30875A31" w14:textId="77777777" w:rsidR="001733FF" w:rsidRPr="00C77F4E" w:rsidRDefault="001733FF" w:rsidP="002F5349">
      <w:pPr>
        <w:spacing w:after="120" w:line="240" w:lineRule="auto"/>
        <w:rPr>
          <w:rFonts w:ascii="Helvetica" w:hAnsi="Helvetica" w:cs="Arial"/>
          <w:i/>
          <w:sz w:val="20"/>
          <w:szCs w:val="20"/>
        </w:rPr>
      </w:pPr>
      <w:r w:rsidRPr="00C77F4E">
        <w:rPr>
          <w:rFonts w:ascii="Helvetica" w:hAnsi="Helvetica" w:cs="Arial"/>
          <w:i/>
          <w:sz w:val="20"/>
          <w:szCs w:val="20"/>
        </w:rPr>
        <w:t>The APR must include the following:</w:t>
      </w:r>
    </w:p>
    <w:p w14:paraId="539BD840" w14:textId="77777777" w:rsidR="001733FF" w:rsidRPr="00C77F4E" w:rsidRDefault="001733FF" w:rsidP="009F36C5">
      <w:pPr>
        <w:numPr>
          <w:ilvl w:val="0"/>
          <w:numId w:val="22"/>
        </w:numPr>
        <w:spacing w:after="120" w:line="240" w:lineRule="auto"/>
        <w:ind w:left="360"/>
        <w:rPr>
          <w:rFonts w:ascii="Helvetica" w:hAnsi="Helvetica" w:cs="Arial"/>
          <w:i/>
          <w:sz w:val="20"/>
          <w:szCs w:val="20"/>
        </w:rPr>
      </w:pPr>
      <w:r w:rsidRPr="00C77F4E">
        <w:rPr>
          <w:rFonts w:ascii="Helvetica" w:hAnsi="Helvetica" w:cs="Arial"/>
          <w:i/>
          <w:sz w:val="20"/>
          <w:szCs w:val="20"/>
        </w:rPr>
        <w:t>A description of the policy or policies regarding admission requirements and admissions decisions.</w:t>
      </w:r>
    </w:p>
    <w:p w14:paraId="1CC3EFE9" w14:textId="77777777" w:rsidR="001733FF" w:rsidRPr="00C77F4E" w:rsidRDefault="001733FF" w:rsidP="009F36C5">
      <w:pPr>
        <w:numPr>
          <w:ilvl w:val="0"/>
          <w:numId w:val="22"/>
        </w:numPr>
        <w:spacing w:after="120" w:line="240" w:lineRule="auto"/>
        <w:ind w:left="360"/>
        <w:rPr>
          <w:rFonts w:ascii="Helvetica" w:hAnsi="Helvetica" w:cs="Arial"/>
          <w:i/>
          <w:sz w:val="20"/>
          <w:szCs w:val="20"/>
        </w:rPr>
      </w:pPr>
      <w:r w:rsidRPr="00C77F4E">
        <w:rPr>
          <w:rFonts w:ascii="Helvetica" w:hAnsi="Helvetica" w:cs="Arial"/>
          <w:i/>
          <w:sz w:val="20"/>
          <w:szCs w:val="20"/>
        </w:rPr>
        <w:t>A description of the process by which the preparatory or preprofessional education of students admitted to the accredited program is evaluated. This description must include the process for verifying general education credits, professional credits and, where appropriate, the basis for granting “advanced standing.” These are to be documented in a student’s admissions and advising record.</w:t>
      </w:r>
    </w:p>
    <w:p w14:paraId="23D77D43" w14:textId="77777777" w:rsidR="001733FF" w:rsidRPr="00C77F4E" w:rsidRDefault="001733FF" w:rsidP="002F5349">
      <w:pPr>
        <w:spacing w:after="120" w:line="240" w:lineRule="auto"/>
        <w:rPr>
          <w:rFonts w:ascii="Helvetica" w:hAnsi="Helvetica" w:cs="Arial"/>
          <w:i/>
          <w:sz w:val="20"/>
          <w:szCs w:val="20"/>
        </w:rPr>
      </w:pPr>
      <w:r w:rsidRPr="00C77F4E">
        <w:rPr>
          <w:rFonts w:ascii="Helvetica" w:hAnsi="Helvetica" w:cs="Arial"/>
          <w:i/>
          <w:sz w:val="20"/>
          <w:szCs w:val="20"/>
        </w:rPr>
        <w:t>NOTE: If applicable, SPC that are expected to have been met in preparatory or pre-professional education</w:t>
      </w:r>
      <w:r w:rsidRPr="00C77F4E">
        <w:rPr>
          <w:rFonts w:ascii="Helvetica" w:hAnsi="Helvetica" w:cs="Arial"/>
          <w:sz w:val="20"/>
          <w:szCs w:val="20"/>
        </w:rPr>
        <w:t xml:space="preserve"> </w:t>
      </w:r>
      <w:r w:rsidRPr="00C77F4E">
        <w:rPr>
          <w:rFonts w:ascii="Helvetica" w:hAnsi="Helvetica" w:cs="Arial"/>
          <w:i/>
          <w:sz w:val="20"/>
          <w:szCs w:val="20"/>
        </w:rPr>
        <w:t>are to be documented in the top line of the SPC matrix (see Part II, Section 1.)</w:t>
      </w:r>
    </w:p>
    <w:p w14:paraId="1CED2EFC" w14:textId="77777777" w:rsidR="001733FF" w:rsidRPr="00C77F4E" w:rsidRDefault="001733FF" w:rsidP="002F5349">
      <w:pPr>
        <w:pStyle w:val="Heading1"/>
        <w:spacing w:before="0" w:after="120" w:line="240" w:lineRule="auto"/>
        <w:rPr>
          <w:rFonts w:ascii="Helvetica" w:hAnsi="Helvetica" w:cs="Arial"/>
          <w:smallCaps/>
          <w:color w:val="auto"/>
          <w:sz w:val="20"/>
          <w:szCs w:val="20"/>
        </w:rPr>
      </w:pPr>
      <w:bookmarkStart w:id="45" w:name="_Toc358370839"/>
      <w:bookmarkStart w:id="46" w:name="_Toc462758535"/>
      <w:r w:rsidRPr="00C77F4E">
        <w:rPr>
          <w:rFonts w:ascii="Helvetica" w:hAnsi="Helvetica" w:cs="Arial"/>
          <w:smallCaps/>
          <w:color w:val="auto"/>
          <w:sz w:val="20"/>
          <w:szCs w:val="20"/>
        </w:rPr>
        <w:t>Part Two (II): Section 4 – Public Information</w:t>
      </w:r>
      <w:bookmarkEnd w:id="45"/>
      <w:bookmarkEnd w:id="46"/>
      <w:r w:rsidRPr="00C77F4E">
        <w:rPr>
          <w:rFonts w:ascii="Helvetica" w:hAnsi="Helvetica" w:cs="Arial"/>
          <w:smallCaps/>
          <w:color w:val="auto"/>
          <w:sz w:val="20"/>
          <w:szCs w:val="20"/>
        </w:rPr>
        <w:t xml:space="preserve"> </w:t>
      </w:r>
    </w:p>
    <w:p w14:paraId="52304380" w14:textId="77777777" w:rsidR="001733FF" w:rsidRPr="00C77F4E" w:rsidRDefault="001733FF" w:rsidP="002F5349">
      <w:pPr>
        <w:spacing w:after="120" w:line="240" w:lineRule="auto"/>
        <w:rPr>
          <w:rFonts w:ascii="Helvetica" w:hAnsi="Helvetica" w:cs="Arial"/>
          <w:i/>
          <w:sz w:val="20"/>
          <w:szCs w:val="20"/>
        </w:rPr>
      </w:pPr>
      <w:r w:rsidRPr="00C77F4E">
        <w:rPr>
          <w:rFonts w:ascii="Helvetica" w:hAnsi="Helvetica" w:cs="Arial"/>
          <w:i/>
          <w:sz w:val="20"/>
          <w:szCs w:val="20"/>
        </w:rPr>
        <w:t xml:space="preserve">The APR must include a list of the URLs for the web pages on which the documents and resources described throughout Part II: Section 4 are available. </w:t>
      </w:r>
    </w:p>
    <w:p w14:paraId="209A6A0E" w14:textId="77777777" w:rsidR="001733FF" w:rsidRPr="00C77F4E" w:rsidRDefault="001733FF" w:rsidP="002F5349">
      <w:pPr>
        <w:pStyle w:val="Heading2"/>
        <w:spacing w:before="0" w:after="120" w:line="240" w:lineRule="auto"/>
        <w:rPr>
          <w:rFonts w:ascii="Helvetica" w:hAnsi="Helvetica" w:cs="Arial"/>
          <w:b w:val="0"/>
          <w:i w:val="0"/>
          <w:sz w:val="20"/>
          <w:szCs w:val="20"/>
        </w:rPr>
      </w:pPr>
      <w:r w:rsidRPr="00C77F4E">
        <w:rPr>
          <w:rFonts w:ascii="Helvetica" w:hAnsi="Helvetica" w:cs="Arial"/>
          <w:b w:val="0"/>
          <w:sz w:val="20"/>
          <w:szCs w:val="20"/>
        </w:rPr>
        <w:t xml:space="preserve"> </w:t>
      </w:r>
      <w:bookmarkStart w:id="47" w:name="_Toc462758536"/>
      <w:bookmarkStart w:id="48" w:name="_Toc358370841"/>
      <w:r w:rsidRPr="00C77F4E">
        <w:rPr>
          <w:rFonts w:ascii="Helvetica" w:hAnsi="Helvetica" w:cs="Arial"/>
          <w:i w:val="0"/>
          <w:sz w:val="20"/>
          <w:szCs w:val="20"/>
        </w:rPr>
        <w:t>III.1.1 Annual Statistical Reports:</w:t>
      </w:r>
      <w:bookmarkEnd w:id="47"/>
      <w:r w:rsidRPr="00C77F4E">
        <w:rPr>
          <w:rFonts w:ascii="Helvetica" w:hAnsi="Helvetica" w:cs="Arial"/>
          <w:i w:val="0"/>
          <w:sz w:val="20"/>
          <w:szCs w:val="20"/>
        </w:rPr>
        <w:t xml:space="preserve"> </w:t>
      </w:r>
      <w:bookmarkEnd w:id="48"/>
    </w:p>
    <w:p w14:paraId="5EE36BC8" w14:textId="77777777" w:rsidR="001733FF" w:rsidRPr="00C77F4E" w:rsidRDefault="001733FF" w:rsidP="002F5349">
      <w:pPr>
        <w:autoSpaceDE w:val="0"/>
        <w:autoSpaceDN w:val="0"/>
        <w:adjustRightInd w:val="0"/>
        <w:spacing w:after="120" w:line="240" w:lineRule="auto"/>
        <w:rPr>
          <w:rFonts w:ascii="Helvetica" w:hAnsi="Helvetica" w:cs="Arial"/>
          <w:i/>
          <w:sz w:val="20"/>
          <w:szCs w:val="20"/>
        </w:rPr>
      </w:pPr>
      <w:r w:rsidRPr="00C77F4E">
        <w:rPr>
          <w:rFonts w:ascii="Helvetica" w:hAnsi="Helvetica" w:cs="Arial"/>
          <w:i/>
          <w:sz w:val="20"/>
          <w:szCs w:val="20"/>
        </w:rPr>
        <w:t>The APR must include a statement signed or sealed by the official within the institution responsible for preparing and submitting statistical data that all data submitted to the NAAB through the Annual Report Submission system since the last site visit is accurate and consistent with reports sent to other national and regional agencies including the National Center for Education Statistics.</w:t>
      </w:r>
    </w:p>
    <w:p w14:paraId="55AAC98C" w14:textId="0B490C23" w:rsidR="001733FF" w:rsidRPr="00C77F4E" w:rsidRDefault="001733FF" w:rsidP="00894213">
      <w:pPr>
        <w:pStyle w:val="Heading2"/>
        <w:spacing w:before="0" w:after="120" w:line="240" w:lineRule="auto"/>
        <w:rPr>
          <w:rFonts w:ascii="Helvetica" w:hAnsi="Helvetica" w:cs="Arial"/>
          <w:b w:val="0"/>
          <w:sz w:val="20"/>
          <w:szCs w:val="20"/>
        </w:rPr>
      </w:pPr>
      <w:bookmarkStart w:id="49" w:name="_Toc462758537"/>
      <w:r w:rsidRPr="00C77F4E">
        <w:rPr>
          <w:rFonts w:ascii="Helvetica" w:hAnsi="Helvetica" w:cs="Arial"/>
          <w:i w:val="0"/>
          <w:sz w:val="20"/>
          <w:szCs w:val="20"/>
        </w:rPr>
        <w:t>III.1.2 Interim Program Reports</w:t>
      </w:r>
      <w:r w:rsidR="00894213" w:rsidRPr="00C77F4E">
        <w:rPr>
          <w:rFonts w:ascii="Helvetica" w:hAnsi="Helvetica" w:cs="Arial"/>
          <w:b w:val="0"/>
          <w:sz w:val="20"/>
          <w:szCs w:val="20"/>
        </w:rPr>
        <w:t>:</w:t>
      </w:r>
      <w:bookmarkEnd w:id="49"/>
      <w:r w:rsidRPr="00C77F4E">
        <w:rPr>
          <w:rFonts w:ascii="Helvetica" w:hAnsi="Helvetica" w:cs="Arial"/>
          <w:b w:val="0"/>
          <w:sz w:val="20"/>
          <w:szCs w:val="20"/>
        </w:rPr>
        <w:t xml:space="preserve"> </w:t>
      </w:r>
    </w:p>
    <w:p w14:paraId="1402DD4C" w14:textId="77777777" w:rsidR="001733FF" w:rsidRPr="00C77F4E" w:rsidRDefault="001733FF" w:rsidP="002F5349">
      <w:pPr>
        <w:autoSpaceDE w:val="0"/>
        <w:autoSpaceDN w:val="0"/>
        <w:adjustRightInd w:val="0"/>
        <w:spacing w:after="120" w:line="240" w:lineRule="auto"/>
        <w:rPr>
          <w:rFonts w:ascii="Helvetica" w:hAnsi="Helvetica" w:cs="Arial"/>
          <w:i/>
          <w:sz w:val="20"/>
          <w:szCs w:val="20"/>
        </w:rPr>
      </w:pPr>
      <w:r w:rsidRPr="00C77F4E">
        <w:rPr>
          <w:rFonts w:ascii="Helvetica" w:hAnsi="Helvetica" w:cs="Arial"/>
          <w:i/>
          <w:sz w:val="20"/>
          <w:szCs w:val="20"/>
        </w:rPr>
        <w:t>These are NOT to be included in the APR. The NAAB will provide the following directly to the team at the same time as the VTR template and other materials:</w:t>
      </w:r>
    </w:p>
    <w:p w14:paraId="4CF0737E" w14:textId="056A0CE4" w:rsidR="001733FF" w:rsidRPr="00C77F4E" w:rsidRDefault="001733FF" w:rsidP="009F36C5">
      <w:pPr>
        <w:numPr>
          <w:ilvl w:val="0"/>
          <w:numId w:val="18"/>
        </w:numPr>
        <w:autoSpaceDE w:val="0"/>
        <w:autoSpaceDN w:val="0"/>
        <w:adjustRightInd w:val="0"/>
        <w:spacing w:after="120" w:line="240" w:lineRule="auto"/>
        <w:rPr>
          <w:rFonts w:ascii="Helvetica" w:hAnsi="Helvetica" w:cs="Arial"/>
          <w:i/>
          <w:sz w:val="20"/>
          <w:szCs w:val="20"/>
        </w:rPr>
      </w:pPr>
      <w:r w:rsidRPr="00C77F4E">
        <w:rPr>
          <w:rFonts w:ascii="Helvetica" w:hAnsi="Helvetica" w:cs="Arial"/>
          <w:i/>
          <w:sz w:val="20"/>
          <w:szCs w:val="20"/>
        </w:rPr>
        <w:t xml:space="preserve">All interim reports submitted since the last visit. </w:t>
      </w:r>
    </w:p>
    <w:p w14:paraId="65275DD4" w14:textId="77777777" w:rsidR="001733FF" w:rsidRPr="00C77F4E" w:rsidRDefault="001733FF" w:rsidP="009F36C5">
      <w:pPr>
        <w:numPr>
          <w:ilvl w:val="0"/>
          <w:numId w:val="18"/>
        </w:numPr>
        <w:autoSpaceDE w:val="0"/>
        <w:autoSpaceDN w:val="0"/>
        <w:adjustRightInd w:val="0"/>
        <w:spacing w:after="120" w:line="240" w:lineRule="auto"/>
        <w:rPr>
          <w:rFonts w:ascii="Helvetica" w:hAnsi="Helvetica" w:cs="Arial"/>
          <w:i/>
          <w:sz w:val="20"/>
          <w:szCs w:val="20"/>
        </w:rPr>
      </w:pPr>
      <w:r w:rsidRPr="00C77F4E">
        <w:rPr>
          <w:rFonts w:ascii="Helvetica" w:hAnsi="Helvetica" w:cs="Arial"/>
          <w:i/>
          <w:sz w:val="20"/>
          <w:szCs w:val="20"/>
        </w:rPr>
        <w:t>In the event a program underwent a Focused Evaluation, the Focused Evaluation Program Report and Focused Evaluation Team Report, including appendices and addenda.</w:t>
      </w:r>
    </w:p>
    <w:p w14:paraId="3247708C" w14:textId="7568BE3D" w:rsidR="001733FF" w:rsidRPr="00C77F4E" w:rsidRDefault="001733FF" w:rsidP="003B1184">
      <w:pPr>
        <w:pStyle w:val="Heading2"/>
        <w:spacing w:before="0" w:after="120" w:line="240" w:lineRule="auto"/>
        <w:rPr>
          <w:rFonts w:ascii="Helvetica" w:hAnsi="Helvetica" w:cs="Arial"/>
          <w:i w:val="0"/>
          <w:sz w:val="20"/>
          <w:szCs w:val="20"/>
        </w:rPr>
      </w:pPr>
      <w:bookmarkStart w:id="50" w:name="_Toc462758538"/>
      <w:r w:rsidRPr="00C77F4E">
        <w:rPr>
          <w:rFonts w:ascii="Helvetica" w:hAnsi="Helvetica" w:cs="Arial"/>
          <w:i w:val="0"/>
          <w:sz w:val="20"/>
          <w:szCs w:val="20"/>
        </w:rPr>
        <w:t xml:space="preserve">APR </w:t>
      </w:r>
      <w:r w:rsidR="00F22B4D" w:rsidRPr="00C77F4E">
        <w:rPr>
          <w:rFonts w:ascii="Helvetica" w:hAnsi="Helvetica" w:cs="Arial"/>
          <w:i w:val="0"/>
          <w:sz w:val="20"/>
          <w:szCs w:val="20"/>
        </w:rPr>
        <w:t xml:space="preserve">Section </w:t>
      </w:r>
      <w:r w:rsidRPr="00C77F4E">
        <w:rPr>
          <w:rFonts w:ascii="Helvetica" w:hAnsi="Helvetica" w:cs="Arial"/>
          <w:i w:val="0"/>
          <w:sz w:val="20"/>
          <w:szCs w:val="20"/>
        </w:rPr>
        <w:t>4 – Supplemental</w:t>
      </w:r>
      <w:r w:rsidR="00F22B4D" w:rsidRPr="00C77F4E">
        <w:rPr>
          <w:rFonts w:ascii="Helvetica" w:hAnsi="Helvetica" w:cs="Arial"/>
          <w:i w:val="0"/>
          <w:sz w:val="20"/>
          <w:szCs w:val="20"/>
        </w:rPr>
        <w:t xml:space="preserve"> Material</w:t>
      </w:r>
      <w:bookmarkEnd w:id="50"/>
    </w:p>
    <w:p w14:paraId="79B57F3A" w14:textId="77777777" w:rsidR="001733FF" w:rsidRPr="00C77F4E" w:rsidRDefault="001733FF" w:rsidP="002F5349">
      <w:pPr>
        <w:spacing w:after="120" w:line="240" w:lineRule="auto"/>
        <w:rPr>
          <w:rFonts w:ascii="Helvetica" w:hAnsi="Helvetica" w:cs="Arial"/>
          <w:sz w:val="20"/>
          <w:szCs w:val="20"/>
        </w:rPr>
      </w:pPr>
      <w:r w:rsidRPr="00C77F4E">
        <w:rPr>
          <w:rFonts w:ascii="Helvetica" w:hAnsi="Helvetica" w:cs="Arial"/>
          <w:sz w:val="20"/>
          <w:szCs w:val="20"/>
        </w:rPr>
        <w:t xml:space="preserve">The program shall provide a number of documents for review by the visiting team. </w:t>
      </w:r>
    </w:p>
    <w:p w14:paraId="42DEC224" w14:textId="77777777" w:rsidR="001733FF" w:rsidRPr="00C77F4E" w:rsidRDefault="001733FF" w:rsidP="002F5349">
      <w:pPr>
        <w:spacing w:after="120" w:line="240" w:lineRule="auto"/>
        <w:rPr>
          <w:rFonts w:ascii="Helvetica" w:hAnsi="Helvetica" w:cs="Arial"/>
          <w:sz w:val="20"/>
          <w:szCs w:val="20"/>
        </w:rPr>
      </w:pPr>
      <w:r w:rsidRPr="00C77F4E">
        <w:rPr>
          <w:rFonts w:ascii="Helvetica" w:hAnsi="Helvetica" w:cs="Arial"/>
          <w:sz w:val="20"/>
          <w:szCs w:val="20"/>
        </w:rPr>
        <w:t>Rather than being appended to the APR, they are to be provided by hyperlink</w:t>
      </w:r>
      <w:r w:rsidR="00BE6D3E" w:rsidRPr="00C77F4E">
        <w:rPr>
          <w:rFonts w:ascii="Helvetica" w:hAnsi="Helvetica" w:cs="Arial"/>
          <w:sz w:val="20"/>
          <w:szCs w:val="20"/>
        </w:rPr>
        <w:t xml:space="preserve"> or stored on an easily accessible digital portal (e.g., Dropbox)</w:t>
      </w:r>
      <w:r w:rsidRPr="00C77F4E">
        <w:rPr>
          <w:rFonts w:ascii="Helvetica" w:hAnsi="Helvetica" w:cs="Arial"/>
          <w:sz w:val="20"/>
          <w:szCs w:val="20"/>
        </w:rPr>
        <w:t>.</w:t>
      </w:r>
    </w:p>
    <w:p w14:paraId="6D1675A3" w14:textId="0DBB0085" w:rsidR="000637DA" w:rsidRPr="00C77F4E" w:rsidRDefault="000637DA" w:rsidP="002F5349">
      <w:pPr>
        <w:numPr>
          <w:ilvl w:val="0"/>
          <w:numId w:val="10"/>
        </w:numPr>
        <w:spacing w:after="120" w:line="240" w:lineRule="auto"/>
        <w:rPr>
          <w:rFonts w:ascii="Helvetica" w:hAnsi="Helvetica" w:cs="Arial"/>
          <w:b/>
          <w:sz w:val="20"/>
          <w:szCs w:val="20"/>
        </w:rPr>
      </w:pPr>
      <w:r w:rsidRPr="00C77F4E">
        <w:rPr>
          <w:rFonts w:ascii="Helvetica" w:hAnsi="Helvetica" w:cs="Arial"/>
          <w:sz w:val="20"/>
          <w:szCs w:val="20"/>
        </w:rPr>
        <w:t>Resumes of faculty teaching in t</w:t>
      </w:r>
      <w:r w:rsidR="00D52676">
        <w:rPr>
          <w:rFonts w:ascii="Helvetica" w:hAnsi="Helvetica" w:cs="Arial"/>
          <w:sz w:val="20"/>
          <w:szCs w:val="20"/>
        </w:rPr>
        <w:t>he accredited program (see p. 13</w:t>
      </w:r>
      <w:r w:rsidRPr="00C77F4E">
        <w:rPr>
          <w:rFonts w:ascii="Helvetica" w:hAnsi="Helvetica" w:cs="Arial"/>
          <w:sz w:val="20"/>
          <w:szCs w:val="20"/>
        </w:rPr>
        <w:t>)</w:t>
      </w:r>
    </w:p>
    <w:p w14:paraId="08DFC1F1" w14:textId="248AFCBF" w:rsidR="000637DA" w:rsidRPr="00C77F4E" w:rsidRDefault="000637DA" w:rsidP="002F5349">
      <w:pPr>
        <w:numPr>
          <w:ilvl w:val="0"/>
          <w:numId w:val="10"/>
        </w:numPr>
        <w:spacing w:after="120" w:line="240" w:lineRule="auto"/>
        <w:rPr>
          <w:rFonts w:ascii="Helvetica" w:hAnsi="Helvetica" w:cs="Arial"/>
          <w:b/>
          <w:sz w:val="20"/>
          <w:szCs w:val="20"/>
        </w:rPr>
      </w:pPr>
      <w:r w:rsidRPr="00C77F4E">
        <w:rPr>
          <w:rFonts w:ascii="Helvetica" w:hAnsi="Helvetica" w:cs="Arial"/>
          <w:sz w:val="20"/>
          <w:szCs w:val="20"/>
        </w:rPr>
        <w:t>Faculty</w:t>
      </w:r>
      <w:r w:rsidR="00D52676">
        <w:rPr>
          <w:rFonts w:ascii="Helvetica" w:hAnsi="Helvetica" w:cs="Arial"/>
          <w:sz w:val="20"/>
          <w:szCs w:val="20"/>
        </w:rPr>
        <w:t xml:space="preserve"> credentials matrices (see p. 13</w:t>
      </w:r>
      <w:r w:rsidRPr="00C77F4E">
        <w:rPr>
          <w:rFonts w:ascii="Helvetica" w:hAnsi="Helvetica" w:cs="Arial"/>
          <w:sz w:val="20"/>
          <w:szCs w:val="20"/>
        </w:rPr>
        <w:t>)</w:t>
      </w:r>
    </w:p>
    <w:p w14:paraId="0CEC4E1C" w14:textId="607D379A" w:rsidR="00C77F4E" w:rsidRPr="00C77F4E" w:rsidRDefault="00C77F4E" w:rsidP="002F5349">
      <w:pPr>
        <w:numPr>
          <w:ilvl w:val="0"/>
          <w:numId w:val="10"/>
        </w:numPr>
        <w:spacing w:after="120" w:line="240" w:lineRule="auto"/>
        <w:rPr>
          <w:rFonts w:ascii="Helvetica" w:hAnsi="Helvetica" w:cs="Arial"/>
          <w:b/>
          <w:sz w:val="20"/>
          <w:szCs w:val="20"/>
        </w:rPr>
      </w:pPr>
      <w:r>
        <w:rPr>
          <w:rFonts w:ascii="Helvetica" w:hAnsi="Helvetica" w:cs="Arial"/>
          <w:sz w:val="20"/>
          <w:szCs w:val="20"/>
        </w:rPr>
        <w:t>Plans or images of physical resources assigned to the program (see p. 13)</w:t>
      </w:r>
    </w:p>
    <w:p w14:paraId="0A939C3F" w14:textId="77777777" w:rsidR="00000000" w:rsidRPr="009F36C5" w:rsidRDefault="009F36C5" w:rsidP="009F36C5">
      <w:pPr>
        <w:numPr>
          <w:ilvl w:val="0"/>
          <w:numId w:val="10"/>
        </w:numPr>
        <w:spacing w:after="120" w:line="240" w:lineRule="auto"/>
        <w:rPr>
          <w:rFonts w:ascii="Helvetica" w:hAnsi="Helvetica" w:cs="Arial"/>
          <w:sz w:val="20"/>
          <w:szCs w:val="20"/>
        </w:rPr>
      </w:pPr>
      <w:r w:rsidRPr="009F36C5">
        <w:rPr>
          <w:rFonts w:ascii="Helvetica" w:hAnsi="Helvetica" w:cs="Arial"/>
          <w:sz w:val="20"/>
          <w:szCs w:val="20"/>
        </w:rPr>
        <w:t xml:space="preserve">Descriptions of all courses offered within the curriculum of the NAAB-accredited degree program. The program must use the template available on the NAAB </w:t>
      </w:r>
      <w:hyperlink r:id="rId14" w:history="1">
        <w:r w:rsidRPr="009F36C5">
          <w:rPr>
            <w:rStyle w:val="Hyperlink"/>
            <w:rFonts w:ascii="Helvetica" w:hAnsi="Helvetica" w:cs="Arial"/>
            <w:sz w:val="20"/>
            <w:szCs w:val="20"/>
          </w:rPr>
          <w:t>website</w:t>
        </w:r>
      </w:hyperlink>
    </w:p>
    <w:p w14:paraId="65984816" w14:textId="77777777" w:rsidR="00000000" w:rsidRPr="009F36C5" w:rsidRDefault="009F36C5" w:rsidP="009F36C5">
      <w:pPr>
        <w:numPr>
          <w:ilvl w:val="0"/>
          <w:numId w:val="10"/>
        </w:numPr>
        <w:spacing w:after="120" w:line="240" w:lineRule="auto"/>
        <w:rPr>
          <w:rFonts w:ascii="Helvetica" w:hAnsi="Helvetica" w:cs="Arial"/>
          <w:sz w:val="20"/>
          <w:szCs w:val="20"/>
        </w:rPr>
      </w:pPr>
      <w:r w:rsidRPr="009F36C5">
        <w:rPr>
          <w:rFonts w:ascii="Helvetica" w:hAnsi="Helvetica" w:cs="Arial"/>
          <w:sz w:val="20"/>
          <w:szCs w:val="20"/>
        </w:rPr>
        <w:t>Studio Culture Policy</w:t>
      </w:r>
    </w:p>
    <w:p w14:paraId="1E126C08" w14:textId="77777777" w:rsidR="00000000" w:rsidRPr="009F36C5" w:rsidRDefault="009F36C5" w:rsidP="009F36C5">
      <w:pPr>
        <w:numPr>
          <w:ilvl w:val="0"/>
          <w:numId w:val="10"/>
        </w:numPr>
        <w:spacing w:after="120" w:line="240" w:lineRule="auto"/>
        <w:rPr>
          <w:rFonts w:ascii="Helvetica" w:hAnsi="Helvetica" w:cs="Arial"/>
          <w:sz w:val="20"/>
          <w:szCs w:val="20"/>
        </w:rPr>
      </w:pPr>
      <w:r w:rsidRPr="009F36C5">
        <w:rPr>
          <w:rFonts w:ascii="Helvetica" w:hAnsi="Helvetica" w:cs="Arial"/>
          <w:sz w:val="20"/>
          <w:szCs w:val="20"/>
        </w:rPr>
        <w:t>Self-Assessment Policies and Objectives</w:t>
      </w:r>
    </w:p>
    <w:p w14:paraId="43C721EF" w14:textId="77777777" w:rsidR="00000000" w:rsidRPr="009F36C5" w:rsidRDefault="009F36C5" w:rsidP="009F36C5">
      <w:pPr>
        <w:numPr>
          <w:ilvl w:val="0"/>
          <w:numId w:val="10"/>
        </w:numPr>
        <w:spacing w:after="120" w:line="240" w:lineRule="auto"/>
        <w:rPr>
          <w:rFonts w:ascii="Helvetica" w:hAnsi="Helvetica" w:cs="Arial"/>
          <w:sz w:val="20"/>
          <w:szCs w:val="20"/>
        </w:rPr>
      </w:pPr>
      <w:r w:rsidRPr="009F36C5">
        <w:rPr>
          <w:rFonts w:ascii="Helvetica" w:hAnsi="Helvetica" w:cs="Arial"/>
          <w:sz w:val="20"/>
          <w:szCs w:val="20"/>
        </w:rPr>
        <w:t>Policies on academic integrity for students (e.g., cheating and plagiarism)</w:t>
      </w:r>
    </w:p>
    <w:p w14:paraId="496D9C0D" w14:textId="77777777" w:rsidR="00000000" w:rsidRPr="009F36C5" w:rsidRDefault="009F36C5" w:rsidP="009F36C5">
      <w:pPr>
        <w:numPr>
          <w:ilvl w:val="0"/>
          <w:numId w:val="10"/>
        </w:numPr>
        <w:spacing w:after="120" w:line="240" w:lineRule="auto"/>
        <w:rPr>
          <w:rFonts w:ascii="Helvetica" w:hAnsi="Helvetica" w:cs="Arial"/>
          <w:sz w:val="20"/>
          <w:szCs w:val="20"/>
        </w:rPr>
      </w:pPr>
      <w:r w:rsidRPr="009F36C5">
        <w:rPr>
          <w:rFonts w:ascii="Helvetica" w:hAnsi="Helvetica" w:cs="Arial"/>
          <w:sz w:val="20"/>
          <w:szCs w:val="20"/>
        </w:rPr>
        <w:t>Information resources policies including collection development</w:t>
      </w:r>
    </w:p>
    <w:p w14:paraId="0D086A7B" w14:textId="77777777" w:rsidR="00000000" w:rsidRPr="009F36C5" w:rsidRDefault="009F36C5" w:rsidP="009F36C5">
      <w:pPr>
        <w:numPr>
          <w:ilvl w:val="0"/>
          <w:numId w:val="10"/>
        </w:numPr>
        <w:spacing w:after="120" w:line="240" w:lineRule="auto"/>
        <w:rPr>
          <w:rFonts w:ascii="Helvetica" w:hAnsi="Helvetica" w:cs="Arial"/>
          <w:sz w:val="20"/>
          <w:szCs w:val="20"/>
        </w:rPr>
      </w:pPr>
      <w:r w:rsidRPr="009F36C5">
        <w:rPr>
          <w:rFonts w:ascii="Helvetica" w:hAnsi="Helvetica" w:cs="Arial"/>
          <w:sz w:val="20"/>
          <w:szCs w:val="20"/>
        </w:rPr>
        <w:t>The institution’s policies and procedures relative to EEO/AA for faculty, staff, and students</w:t>
      </w:r>
    </w:p>
    <w:p w14:paraId="48297AD6" w14:textId="77777777" w:rsidR="00000000" w:rsidRPr="009F36C5" w:rsidRDefault="009F36C5" w:rsidP="009F36C5">
      <w:pPr>
        <w:numPr>
          <w:ilvl w:val="0"/>
          <w:numId w:val="10"/>
        </w:numPr>
        <w:spacing w:after="120" w:line="240" w:lineRule="auto"/>
        <w:rPr>
          <w:rFonts w:ascii="Helvetica" w:hAnsi="Helvetica" w:cs="Arial"/>
          <w:sz w:val="20"/>
          <w:szCs w:val="20"/>
        </w:rPr>
      </w:pPr>
      <w:bookmarkStart w:id="51" w:name="_GoBack"/>
      <w:bookmarkEnd w:id="51"/>
      <w:r w:rsidRPr="009F36C5">
        <w:rPr>
          <w:rFonts w:ascii="Helvetica" w:hAnsi="Helvetica" w:cs="Arial"/>
          <w:sz w:val="20"/>
          <w:szCs w:val="20"/>
        </w:rPr>
        <w:t>The institution’s policy regarding human resource development opportunities, such as sabbatical, research leave, and scholarly achievements</w:t>
      </w:r>
    </w:p>
    <w:p w14:paraId="7A5A387C" w14:textId="77777777" w:rsidR="00000000" w:rsidRPr="009F36C5" w:rsidRDefault="009F36C5" w:rsidP="009F36C5">
      <w:pPr>
        <w:numPr>
          <w:ilvl w:val="0"/>
          <w:numId w:val="10"/>
        </w:numPr>
        <w:spacing w:after="120" w:line="240" w:lineRule="auto"/>
        <w:rPr>
          <w:rFonts w:ascii="Helvetica" w:hAnsi="Helvetica" w:cs="Arial"/>
          <w:sz w:val="20"/>
          <w:szCs w:val="20"/>
        </w:rPr>
      </w:pPr>
      <w:r w:rsidRPr="009F36C5">
        <w:rPr>
          <w:rFonts w:ascii="Helvetica" w:hAnsi="Helvetica" w:cs="Arial"/>
          <w:sz w:val="20"/>
          <w:szCs w:val="20"/>
        </w:rPr>
        <w:t>The policies, procedures, and criteria for faculty appointment, promotion, and when applicable, tenure</w:t>
      </w:r>
    </w:p>
    <w:p w14:paraId="7235D798" w14:textId="77777777" w:rsidR="00000000" w:rsidRPr="009F36C5" w:rsidRDefault="009F36C5" w:rsidP="009F36C5">
      <w:pPr>
        <w:numPr>
          <w:ilvl w:val="0"/>
          <w:numId w:val="10"/>
        </w:numPr>
        <w:spacing w:after="120" w:line="240" w:lineRule="auto"/>
        <w:rPr>
          <w:rFonts w:ascii="Helvetica" w:hAnsi="Helvetica" w:cs="Arial"/>
          <w:sz w:val="20"/>
          <w:szCs w:val="20"/>
        </w:rPr>
      </w:pPr>
      <w:r w:rsidRPr="009F36C5">
        <w:rPr>
          <w:rFonts w:ascii="Helvetica" w:hAnsi="Helvetica" w:cs="Arial"/>
          <w:sz w:val="20"/>
          <w:szCs w:val="20"/>
        </w:rPr>
        <w:t>Response to the Offsite Program Questionnaire (also called th</w:t>
      </w:r>
      <w:r w:rsidRPr="009F36C5">
        <w:rPr>
          <w:rFonts w:ascii="Helvetica" w:hAnsi="Helvetica" w:cs="Arial"/>
          <w:sz w:val="20"/>
          <w:szCs w:val="20"/>
        </w:rPr>
        <w:t xml:space="preserve">e Branch Campus Questionnaire) (See </w:t>
      </w:r>
      <w:r w:rsidRPr="009F36C5">
        <w:rPr>
          <w:rFonts w:ascii="Helvetica" w:hAnsi="Helvetica" w:cs="Arial"/>
          <w:i/>
          <w:iCs/>
          <w:sz w:val="20"/>
          <w:szCs w:val="20"/>
        </w:rPr>
        <w:t xml:space="preserve">2015 Procedures, </w:t>
      </w:r>
      <w:r w:rsidRPr="009F36C5">
        <w:rPr>
          <w:rFonts w:ascii="Helvetica" w:hAnsi="Helvetica" w:cs="Arial"/>
          <w:sz w:val="20"/>
          <w:szCs w:val="20"/>
        </w:rPr>
        <w:t>Section 8)</w:t>
      </w:r>
    </w:p>
    <w:p w14:paraId="169CC773" w14:textId="77777777" w:rsidR="00000000" w:rsidRPr="009F36C5" w:rsidRDefault="009F36C5" w:rsidP="009F36C5">
      <w:pPr>
        <w:numPr>
          <w:ilvl w:val="0"/>
          <w:numId w:val="10"/>
        </w:numPr>
        <w:spacing w:after="120" w:line="240" w:lineRule="auto"/>
        <w:rPr>
          <w:rFonts w:ascii="Helvetica" w:hAnsi="Helvetica" w:cs="Arial"/>
          <w:sz w:val="20"/>
          <w:szCs w:val="20"/>
        </w:rPr>
      </w:pPr>
      <w:r w:rsidRPr="009F36C5">
        <w:rPr>
          <w:rFonts w:ascii="Helvetica" w:hAnsi="Helvetica" w:cs="Arial"/>
          <w:sz w:val="20"/>
          <w:szCs w:val="20"/>
        </w:rPr>
        <w:t>The previous VTR (from 2012 or 2015)</w:t>
      </w:r>
    </w:p>
    <w:p w14:paraId="179C498B" w14:textId="77777777" w:rsidR="00000000" w:rsidRPr="009F36C5" w:rsidRDefault="009F36C5" w:rsidP="009F36C5">
      <w:pPr>
        <w:numPr>
          <w:ilvl w:val="0"/>
          <w:numId w:val="10"/>
        </w:numPr>
        <w:spacing w:after="120" w:line="240" w:lineRule="auto"/>
        <w:rPr>
          <w:rFonts w:ascii="Helvetica" w:hAnsi="Helvetica" w:cs="Arial"/>
          <w:sz w:val="20"/>
          <w:szCs w:val="20"/>
        </w:rPr>
      </w:pPr>
      <w:r w:rsidRPr="009F36C5">
        <w:rPr>
          <w:rFonts w:ascii="Helvetica" w:hAnsi="Helvetica" w:cs="Arial"/>
          <w:sz w:val="20"/>
          <w:szCs w:val="20"/>
        </w:rPr>
        <w:t>Focused Evaluation materials (2015)</w:t>
      </w:r>
    </w:p>
    <w:p w14:paraId="61BE06E7" w14:textId="77777777" w:rsidR="00000000" w:rsidRPr="009F36C5" w:rsidRDefault="009F36C5" w:rsidP="009F36C5">
      <w:pPr>
        <w:numPr>
          <w:ilvl w:val="0"/>
          <w:numId w:val="10"/>
        </w:numPr>
        <w:spacing w:after="120" w:line="240" w:lineRule="auto"/>
        <w:rPr>
          <w:rFonts w:ascii="Helvetica" w:hAnsi="Helvetica" w:cs="Arial"/>
          <w:sz w:val="20"/>
          <w:szCs w:val="20"/>
        </w:rPr>
      </w:pPr>
      <w:r w:rsidRPr="009F36C5">
        <w:rPr>
          <w:rFonts w:ascii="Helvetica" w:hAnsi="Helvetica" w:cs="Arial"/>
          <w:sz w:val="20"/>
          <w:szCs w:val="20"/>
        </w:rPr>
        <w:t>Copy of institutional accreditation letter</w:t>
      </w:r>
    </w:p>
    <w:p w14:paraId="521BA89A" w14:textId="77777777" w:rsidR="00000000" w:rsidRPr="009F36C5" w:rsidRDefault="009F36C5" w:rsidP="009F36C5">
      <w:pPr>
        <w:numPr>
          <w:ilvl w:val="0"/>
          <w:numId w:val="10"/>
        </w:numPr>
        <w:spacing w:after="120" w:line="240" w:lineRule="auto"/>
        <w:rPr>
          <w:rFonts w:ascii="Helvetica" w:hAnsi="Helvetica" w:cs="Arial"/>
          <w:sz w:val="20"/>
          <w:szCs w:val="20"/>
        </w:rPr>
      </w:pPr>
      <w:r w:rsidRPr="009F36C5">
        <w:rPr>
          <w:rFonts w:ascii="Helvetica" w:hAnsi="Helvetica" w:cs="Arial"/>
          <w:sz w:val="20"/>
          <w:szCs w:val="20"/>
        </w:rPr>
        <w:t>Letter from institutional research regarding ARS data</w:t>
      </w:r>
    </w:p>
    <w:p w14:paraId="3F0D25C1" w14:textId="77777777" w:rsidR="002D205F" w:rsidRPr="00C77F4E" w:rsidRDefault="002D205F" w:rsidP="002F5349">
      <w:pPr>
        <w:spacing w:after="120" w:line="240" w:lineRule="auto"/>
        <w:rPr>
          <w:rFonts w:ascii="Helvetica" w:hAnsi="Helvetica" w:cs="Arial"/>
          <w:sz w:val="20"/>
          <w:szCs w:val="20"/>
        </w:rPr>
      </w:pPr>
    </w:p>
    <w:p w14:paraId="766E3646" w14:textId="77777777" w:rsidR="002D205F" w:rsidRPr="00C77F4E" w:rsidRDefault="002D205F" w:rsidP="002F5349">
      <w:pPr>
        <w:spacing w:after="120" w:line="240" w:lineRule="auto"/>
        <w:rPr>
          <w:rFonts w:ascii="Helvetica" w:hAnsi="Helvetica" w:cs="Arial"/>
          <w:sz w:val="20"/>
          <w:szCs w:val="20"/>
        </w:rPr>
      </w:pPr>
    </w:p>
    <w:p w14:paraId="7D252179" w14:textId="77777777" w:rsidR="00B94225" w:rsidRPr="00C77F4E" w:rsidRDefault="00B94225" w:rsidP="00894213">
      <w:pPr>
        <w:pStyle w:val="ColorfulList-Accent11"/>
        <w:spacing w:after="120" w:line="240" w:lineRule="auto"/>
        <w:ind w:left="0"/>
        <w:contextualSpacing w:val="0"/>
        <w:outlineLvl w:val="0"/>
        <w:rPr>
          <w:rFonts w:ascii="Helvetica" w:hAnsi="Helvetica" w:cs="Arial"/>
          <w:b/>
          <w:sz w:val="20"/>
          <w:szCs w:val="20"/>
        </w:rPr>
      </w:pPr>
      <w:r w:rsidRPr="00C77F4E">
        <w:rPr>
          <w:rFonts w:ascii="Helvetica" w:hAnsi="Helvetica" w:cs="Arial"/>
          <w:sz w:val="20"/>
          <w:szCs w:val="20"/>
        </w:rPr>
        <w:br w:type="page"/>
      </w:r>
      <w:bookmarkStart w:id="52" w:name="_Toc462758539"/>
      <w:r w:rsidR="00196B20" w:rsidRPr="00C77F4E">
        <w:rPr>
          <w:rFonts w:ascii="Helvetica" w:hAnsi="Helvetica" w:cs="Arial"/>
          <w:b/>
          <w:sz w:val="20"/>
          <w:szCs w:val="20"/>
        </w:rPr>
        <w:t xml:space="preserve">A Brief </w:t>
      </w:r>
      <w:r w:rsidRPr="00C77F4E">
        <w:rPr>
          <w:rFonts w:ascii="Helvetica" w:hAnsi="Helvetica" w:cs="Arial"/>
          <w:b/>
          <w:sz w:val="20"/>
          <w:szCs w:val="20"/>
        </w:rPr>
        <w:t>History of Accreditation in Architecture Education</w:t>
      </w:r>
      <w:bookmarkEnd w:id="52"/>
    </w:p>
    <w:p w14:paraId="14821D84" w14:textId="77777777" w:rsidR="00B94225" w:rsidRPr="00C77F4E" w:rsidRDefault="00B94225" w:rsidP="002F5349">
      <w:pPr>
        <w:spacing w:after="120" w:line="240" w:lineRule="auto"/>
        <w:rPr>
          <w:rFonts w:ascii="Helvetica" w:hAnsi="Helvetica" w:cs="Arial"/>
          <w:bCs/>
          <w:sz w:val="20"/>
          <w:szCs w:val="20"/>
        </w:rPr>
      </w:pPr>
      <w:r w:rsidRPr="00C77F4E">
        <w:rPr>
          <w:rFonts w:ascii="Helvetica" w:hAnsi="Helvetica" w:cs="Arial"/>
          <w:bCs/>
          <w:sz w:val="20"/>
          <w:szCs w:val="20"/>
        </w:rPr>
        <w:t xml:space="preserve">The first step leading to architectural accreditation was taken in Illinois where the first legislation regulating the practice of architecture was enacted in 1897.  Following that enactment, in </w:t>
      </w:r>
      <w:r w:rsidRPr="00C77F4E">
        <w:rPr>
          <w:rFonts w:ascii="Helvetica" w:hAnsi="Helvetica" w:cs="Arial"/>
          <w:sz w:val="20"/>
          <w:szCs w:val="20"/>
        </w:rPr>
        <w:t xml:space="preserve">1898 </w:t>
      </w:r>
      <w:r w:rsidRPr="00C77F4E">
        <w:rPr>
          <w:rFonts w:ascii="Helvetica" w:hAnsi="Helvetica" w:cs="Arial"/>
          <w:bCs/>
          <w:sz w:val="20"/>
          <w:szCs w:val="20"/>
        </w:rPr>
        <w:t>the Illinois Board of Examiners and Regulators of Architects gave its first examination. By 1902 they had established a rule restricting the examination to graduates of the state’s approved 4-year architecture curriculum.  In 1903, the board expanded this policy to include graduates from Cornell, Columbia, and Harvard Universities, the Massachusetts Institute of Technology, and the University of Pennsylvania.  That action demonstrated the need for national standards of architectural education.</w:t>
      </w:r>
    </w:p>
    <w:p w14:paraId="5EB2FC7C" w14:textId="77777777" w:rsidR="00B94225" w:rsidRPr="00C77F4E" w:rsidRDefault="00B94225" w:rsidP="002F5349">
      <w:pPr>
        <w:spacing w:after="120" w:line="240" w:lineRule="auto"/>
        <w:rPr>
          <w:rFonts w:ascii="Helvetica" w:hAnsi="Helvetica" w:cs="Arial"/>
          <w:bCs/>
          <w:sz w:val="20"/>
          <w:szCs w:val="20"/>
        </w:rPr>
      </w:pPr>
      <w:r w:rsidRPr="00C77F4E">
        <w:rPr>
          <w:rFonts w:ascii="Helvetica" w:hAnsi="Helvetica" w:cs="Arial"/>
          <w:bCs/>
          <w:sz w:val="20"/>
          <w:szCs w:val="20"/>
        </w:rPr>
        <w:t>In 1972, the membership of the NAAB Board of Directors was expanded to include one student representative nominated by “the Association of Student Chapters/ AIA</w:t>
      </w:r>
      <w:r w:rsidRPr="00C77F4E">
        <w:rPr>
          <w:rStyle w:val="FootnoteReference"/>
          <w:rFonts w:ascii="Helvetica" w:hAnsi="Helvetica" w:cs="Arial"/>
          <w:bCs/>
          <w:sz w:val="20"/>
          <w:szCs w:val="20"/>
        </w:rPr>
        <w:footnoteReference w:id="3"/>
      </w:r>
      <w:r w:rsidRPr="00C77F4E">
        <w:rPr>
          <w:rFonts w:ascii="Helvetica" w:hAnsi="Helvetica" w:cs="Arial"/>
          <w:bCs/>
          <w:sz w:val="20"/>
          <w:szCs w:val="20"/>
        </w:rPr>
        <w:t xml:space="preserve">” and one </w:t>
      </w:r>
      <w:r w:rsidRPr="00C77F4E">
        <w:rPr>
          <w:rFonts w:ascii="Helvetica" w:hAnsi="Helvetica" w:cs="Arial"/>
          <w:sz w:val="20"/>
          <w:szCs w:val="20"/>
        </w:rPr>
        <w:t>graduate student nominated by schools accredited by the NAAB. In 1999, this representation was further refined to be two individuals nominated by the American Institute of Architecture Students.</w:t>
      </w:r>
    </w:p>
    <w:p w14:paraId="138D0F58" w14:textId="77777777" w:rsidR="00B94225" w:rsidRPr="00C77F4E" w:rsidRDefault="00B94225" w:rsidP="002F5349">
      <w:pPr>
        <w:spacing w:after="120" w:line="240" w:lineRule="auto"/>
        <w:rPr>
          <w:rFonts w:ascii="Helvetica" w:hAnsi="Helvetica" w:cs="Arial"/>
          <w:bCs/>
          <w:sz w:val="20"/>
          <w:szCs w:val="20"/>
        </w:rPr>
      </w:pPr>
      <w:r w:rsidRPr="00C77F4E">
        <w:rPr>
          <w:rFonts w:ascii="Helvetica" w:hAnsi="Helvetica" w:cs="Arial"/>
          <w:bCs/>
          <w:sz w:val="20"/>
          <w:szCs w:val="20"/>
        </w:rPr>
        <w:t>In that report, the collateral organizations identified two over-arching goals for the NAAB:</w:t>
      </w:r>
    </w:p>
    <w:p w14:paraId="259264D5" w14:textId="77777777" w:rsidR="00B94225" w:rsidRPr="00C77F4E" w:rsidRDefault="00B94225" w:rsidP="009F36C5">
      <w:pPr>
        <w:pStyle w:val="ColorfulList-Accent11"/>
        <w:numPr>
          <w:ilvl w:val="0"/>
          <w:numId w:val="30"/>
        </w:numPr>
        <w:spacing w:after="120" w:line="240" w:lineRule="auto"/>
        <w:contextualSpacing w:val="0"/>
        <w:rPr>
          <w:rFonts w:ascii="Helvetica" w:hAnsi="Helvetica" w:cs="Arial"/>
          <w:sz w:val="20"/>
          <w:szCs w:val="20"/>
        </w:rPr>
      </w:pPr>
      <w:r w:rsidRPr="00C77F4E">
        <w:rPr>
          <w:rFonts w:ascii="Helvetica" w:hAnsi="Helvetica" w:cs="Arial"/>
          <w:sz w:val="20"/>
          <w:szCs w:val="20"/>
        </w:rPr>
        <w:t>Advancement of all phases of architectural education, with a view toward the promotion of public welfare.</w:t>
      </w:r>
    </w:p>
    <w:p w14:paraId="7C330C41" w14:textId="77777777" w:rsidR="00B94225" w:rsidRPr="00C77F4E" w:rsidRDefault="00B94225" w:rsidP="009F36C5">
      <w:pPr>
        <w:pStyle w:val="ColorfulList-Accent11"/>
        <w:numPr>
          <w:ilvl w:val="0"/>
          <w:numId w:val="30"/>
        </w:numPr>
        <w:spacing w:after="120" w:line="240" w:lineRule="auto"/>
        <w:contextualSpacing w:val="0"/>
        <w:rPr>
          <w:rFonts w:ascii="Helvetica" w:hAnsi="Helvetica" w:cs="Arial"/>
          <w:sz w:val="20"/>
          <w:szCs w:val="20"/>
        </w:rPr>
      </w:pPr>
      <w:r w:rsidRPr="00C77F4E">
        <w:rPr>
          <w:rFonts w:ascii="Helvetica" w:hAnsi="Helvetica" w:cs="Arial"/>
          <w:sz w:val="20"/>
          <w:szCs w:val="20"/>
        </w:rPr>
        <w:t>Provide guidance, encourage improvement and innovation in the architecture system process, program experience, and product with a view toward serving the public interest and meeting societal needs.</w:t>
      </w:r>
    </w:p>
    <w:p w14:paraId="4D6A0163" w14:textId="77777777" w:rsidR="00B94225" w:rsidRPr="00C77F4E" w:rsidRDefault="00B94225" w:rsidP="002F5349">
      <w:pPr>
        <w:pStyle w:val="ColorfulList-Accent11"/>
        <w:spacing w:after="120" w:line="240" w:lineRule="auto"/>
        <w:ind w:left="0"/>
        <w:contextualSpacing w:val="0"/>
        <w:rPr>
          <w:rFonts w:ascii="Helvetica" w:hAnsi="Helvetica" w:cs="Arial"/>
          <w:sz w:val="20"/>
          <w:szCs w:val="20"/>
        </w:rPr>
      </w:pPr>
      <w:r w:rsidRPr="00C77F4E">
        <w:rPr>
          <w:rFonts w:ascii="Helvetica" w:hAnsi="Helvetica" w:cs="Arial"/>
          <w:sz w:val="20"/>
          <w:szCs w:val="20"/>
        </w:rPr>
        <w:t>And three objectives for the accreditation process:</w:t>
      </w:r>
    </w:p>
    <w:p w14:paraId="76C422D4" w14:textId="77777777" w:rsidR="00B94225" w:rsidRPr="00C77F4E" w:rsidRDefault="00B94225" w:rsidP="009F36C5">
      <w:pPr>
        <w:pStyle w:val="ColorfulList-Accent11"/>
        <w:numPr>
          <w:ilvl w:val="0"/>
          <w:numId w:val="31"/>
        </w:numPr>
        <w:spacing w:after="120" w:line="240" w:lineRule="auto"/>
        <w:contextualSpacing w:val="0"/>
        <w:rPr>
          <w:rFonts w:ascii="Helvetica" w:hAnsi="Helvetica" w:cs="Arial"/>
          <w:sz w:val="20"/>
          <w:szCs w:val="20"/>
        </w:rPr>
      </w:pPr>
      <w:r w:rsidRPr="00C77F4E">
        <w:rPr>
          <w:rFonts w:ascii="Helvetica" w:hAnsi="Helvetica" w:cs="Arial"/>
          <w:sz w:val="20"/>
          <w:szCs w:val="20"/>
        </w:rPr>
        <w:t>To hold a school accountable to its own stated objectives to the student, the profession, the institution, and the public community.</w:t>
      </w:r>
    </w:p>
    <w:p w14:paraId="5D79267C" w14:textId="77777777" w:rsidR="00B94225" w:rsidRPr="00C77F4E" w:rsidRDefault="00B94225" w:rsidP="009F36C5">
      <w:pPr>
        <w:pStyle w:val="ColorfulList-Accent11"/>
        <w:numPr>
          <w:ilvl w:val="0"/>
          <w:numId w:val="31"/>
        </w:numPr>
        <w:spacing w:after="120" w:line="240" w:lineRule="auto"/>
        <w:contextualSpacing w:val="0"/>
        <w:rPr>
          <w:rFonts w:ascii="Helvetica" w:hAnsi="Helvetica" w:cs="Arial"/>
          <w:sz w:val="20"/>
          <w:szCs w:val="20"/>
        </w:rPr>
      </w:pPr>
      <w:r w:rsidRPr="00C77F4E">
        <w:rPr>
          <w:rFonts w:ascii="Helvetica" w:hAnsi="Helvetica" w:cs="Arial"/>
          <w:sz w:val="20"/>
          <w:szCs w:val="20"/>
        </w:rPr>
        <w:t>To improve educational programs in schools of architecture by continuing a systematic review and assessment of education programs and resources through the self-evaluation process.</w:t>
      </w:r>
    </w:p>
    <w:p w14:paraId="0BC64C79" w14:textId="77777777" w:rsidR="00B94225" w:rsidRPr="00C77F4E" w:rsidRDefault="00B94225" w:rsidP="009F36C5">
      <w:pPr>
        <w:pStyle w:val="ColorfulList-Accent11"/>
        <w:numPr>
          <w:ilvl w:val="0"/>
          <w:numId w:val="31"/>
        </w:numPr>
        <w:spacing w:after="120" w:line="240" w:lineRule="auto"/>
        <w:contextualSpacing w:val="0"/>
        <w:rPr>
          <w:rFonts w:ascii="Helvetica" w:hAnsi="Helvetica" w:cs="Arial"/>
          <w:sz w:val="20"/>
          <w:szCs w:val="20"/>
        </w:rPr>
      </w:pPr>
      <w:r w:rsidRPr="00C77F4E">
        <w:rPr>
          <w:rFonts w:ascii="Helvetica" w:hAnsi="Helvetica" w:cs="Arial"/>
          <w:sz w:val="20"/>
          <w:szCs w:val="20"/>
        </w:rPr>
        <w:t>To identify to prospective students, the public community, the profession, educational institutions, governmental agencies and state registration boards and to grant public recognition to those architecture education programs which meet and maintain established qualifications.</w:t>
      </w:r>
    </w:p>
    <w:p w14:paraId="5170873C" w14:textId="77777777" w:rsidR="00B94225" w:rsidRPr="00C77F4E" w:rsidRDefault="00B94225" w:rsidP="002F5349">
      <w:pPr>
        <w:spacing w:after="120" w:line="240" w:lineRule="auto"/>
        <w:rPr>
          <w:rFonts w:ascii="Helvetica" w:hAnsi="Helvetica" w:cs="Arial"/>
          <w:sz w:val="20"/>
          <w:szCs w:val="20"/>
        </w:rPr>
      </w:pPr>
      <w:r w:rsidRPr="00C77F4E">
        <w:rPr>
          <w:rFonts w:ascii="Helvetica" w:hAnsi="Helvetica" w:cs="Arial"/>
          <w:sz w:val="20"/>
          <w:szCs w:val="20"/>
        </w:rPr>
        <w:t xml:space="preserve">Finally, the report identified 13 policies; of which many remain central to the process. Among the thirteen, the following four relate to the continuous review and evaluation of the </w:t>
      </w:r>
      <w:r w:rsidRPr="00C77F4E">
        <w:rPr>
          <w:rFonts w:ascii="Helvetica" w:hAnsi="Helvetica" w:cs="Arial"/>
          <w:i/>
          <w:sz w:val="20"/>
          <w:szCs w:val="20"/>
        </w:rPr>
        <w:t>Conditions for Accreditation.</w:t>
      </w:r>
      <w:r w:rsidRPr="00C77F4E">
        <w:rPr>
          <w:rFonts w:ascii="Helvetica" w:hAnsi="Helvetica" w:cs="Arial"/>
          <w:color w:val="0000FF"/>
          <w:sz w:val="20"/>
          <w:szCs w:val="20"/>
        </w:rPr>
        <w:t xml:space="preserve"> </w:t>
      </w:r>
      <w:r w:rsidRPr="00C77F4E">
        <w:rPr>
          <w:rFonts w:ascii="Helvetica" w:hAnsi="Helvetica" w:cs="Arial"/>
          <w:sz w:val="20"/>
          <w:szCs w:val="20"/>
        </w:rPr>
        <w:t>The NAAB will:</w:t>
      </w:r>
    </w:p>
    <w:p w14:paraId="6500FB5C" w14:textId="77777777" w:rsidR="00B94225" w:rsidRPr="00C77F4E" w:rsidRDefault="00B94225" w:rsidP="009F36C5">
      <w:pPr>
        <w:numPr>
          <w:ilvl w:val="0"/>
          <w:numId w:val="33"/>
        </w:numPr>
        <w:spacing w:after="120" w:line="240" w:lineRule="auto"/>
        <w:rPr>
          <w:rFonts w:ascii="Helvetica" w:hAnsi="Helvetica" w:cs="Arial"/>
          <w:sz w:val="20"/>
          <w:szCs w:val="20"/>
        </w:rPr>
      </w:pPr>
      <w:r w:rsidRPr="00C77F4E">
        <w:rPr>
          <w:rFonts w:ascii="Helvetica" w:hAnsi="Helvetica" w:cs="Arial"/>
          <w:sz w:val="20"/>
          <w:szCs w:val="20"/>
        </w:rPr>
        <w:t>Accredit professional degree programs in architecture rather than institutions, colleges, departments, or schools.</w:t>
      </w:r>
    </w:p>
    <w:p w14:paraId="71B7EE35" w14:textId="77777777" w:rsidR="00B94225" w:rsidRPr="00C77F4E" w:rsidRDefault="00B94225" w:rsidP="009F36C5">
      <w:pPr>
        <w:pStyle w:val="ColorfulList-Accent11"/>
        <w:numPr>
          <w:ilvl w:val="0"/>
          <w:numId w:val="32"/>
        </w:numPr>
        <w:spacing w:after="120" w:line="240" w:lineRule="auto"/>
        <w:contextualSpacing w:val="0"/>
        <w:rPr>
          <w:rFonts w:ascii="Helvetica" w:hAnsi="Helvetica" w:cs="Arial"/>
          <w:sz w:val="20"/>
          <w:szCs w:val="20"/>
        </w:rPr>
      </w:pPr>
      <w:r w:rsidRPr="00C77F4E">
        <w:rPr>
          <w:rFonts w:ascii="Helvetica" w:hAnsi="Helvetica" w:cs="Arial"/>
          <w:sz w:val="20"/>
          <w:szCs w:val="20"/>
        </w:rPr>
        <w:t>Accredit only the first professional degree program in architecture.</w:t>
      </w:r>
    </w:p>
    <w:p w14:paraId="383A55C6" w14:textId="77777777" w:rsidR="00B94225" w:rsidRPr="00C77F4E" w:rsidRDefault="00B94225" w:rsidP="009F36C5">
      <w:pPr>
        <w:pStyle w:val="ColorfulList-Accent11"/>
        <w:numPr>
          <w:ilvl w:val="0"/>
          <w:numId w:val="32"/>
        </w:numPr>
        <w:spacing w:after="120" w:line="240" w:lineRule="auto"/>
        <w:contextualSpacing w:val="0"/>
        <w:rPr>
          <w:rFonts w:ascii="Helvetica" w:hAnsi="Helvetica" w:cs="Arial"/>
          <w:sz w:val="20"/>
          <w:szCs w:val="20"/>
        </w:rPr>
      </w:pPr>
      <w:r w:rsidRPr="00C77F4E">
        <w:rPr>
          <w:rFonts w:ascii="Helvetica" w:hAnsi="Helvetica" w:cs="Arial"/>
          <w:sz w:val="20"/>
          <w:szCs w:val="20"/>
        </w:rPr>
        <w:t>Avoid rigid standards of curriculum content as a basis for accreditation in order to prevent standardization of programs and support well-planned experimentation.</w:t>
      </w:r>
    </w:p>
    <w:p w14:paraId="30F963C6" w14:textId="77777777" w:rsidR="00B94225" w:rsidRPr="00C77F4E" w:rsidRDefault="00B94225" w:rsidP="009F36C5">
      <w:pPr>
        <w:pStyle w:val="ColorfulList-Accent11"/>
        <w:numPr>
          <w:ilvl w:val="0"/>
          <w:numId w:val="32"/>
        </w:numPr>
        <w:spacing w:after="120" w:line="240" w:lineRule="auto"/>
        <w:contextualSpacing w:val="0"/>
        <w:rPr>
          <w:rFonts w:ascii="Helvetica" w:hAnsi="Helvetica" w:cs="Arial"/>
          <w:sz w:val="20"/>
          <w:szCs w:val="20"/>
        </w:rPr>
      </w:pPr>
      <w:r w:rsidRPr="00C77F4E">
        <w:rPr>
          <w:rFonts w:ascii="Helvetica" w:hAnsi="Helvetica" w:cs="Arial"/>
          <w:sz w:val="20"/>
          <w:szCs w:val="20"/>
        </w:rPr>
        <w:t>Establish and maintain procedures for reviewing and evaluating programs and informing schools of their accreditation status and for appeals by schools.</w:t>
      </w:r>
    </w:p>
    <w:p w14:paraId="6A756A69" w14:textId="77777777" w:rsidR="00B94225" w:rsidRPr="00C77F4E" w:rsidRDefault="00B94225" w:rsidP="002F5349">
      <w:pPr>
        <w:pStyle w:val="Heading1"/>
        <w:spacing w:before="0" w:after="120" w:line="240" w:lineRule="auto"/>
        <w:rPr>
          <w:rFonts w:ascii="Helvetica" w:hAnsi="Helvetica" w:cs="Arial"/>
          <w:bCs w:val="0"/>
          <w:color w:val="auto"/>
          <w:sz w:val="20"/>
          <w:szCs w:val="20"/>
        </w:rPr>
      </w:pPr>
      <w:bookmarkStart w:id="53" w:name="_Toc462758540"/>
      <w:r w:rsidRPr="00C77F4E">
        <w:rPr>
          <w:rFonts w:ascii="Helvetica" w:hAnsi="Helvetica" w:cs="Arial"/>
          <w:bCs w:val="0"/>
          <w:color w:val="auto"/>
          <w:sz w:val="20"/>
          <w:szCs w:val="20"/>
        </w:rPr>
        <w:t>The NAAB</w:t>
      </w:r>
      <w:bookmarkEnd w:id="53"/>
    </w:p>
    <w:p w14:paraId="358022ED" w14:textId="77777777" w:rsidR="00B94225" w:rsidRPr="00C77F4E" w:rsidRDefault="00B94225" w:rsidP="002F5349">
      <w:pPr>
        <w:spacing w:after="120" w:line="240" w:lineRule="auto"/>
        <w:rPr>
          <w:rFonts w:ascii="Helvetica" w:hAnsi="Helvetica" w:cs="Arial"/>
          <w:bCs/>
          <w:sz w:val="20"/>
          <w:szCs w:val="20"/>
        </w:rPr>
      </w:pPr>
      <w:r w:rsidRPr="00C77F4E">
        <w:rPr>
          <w:rFonts w:ascii="Helvetica" w:hAnsi="Helvetica" w:cs="Arial"/>
          <w:bCs/>
          <w:sz w:val="20"/>
          <w:szCs w:val="20"/>
        </w:rPr>
        <w:t xml:space="preserve">The directors of the NAAB bring varied insight and concerns to the accreditation process and provide a broad and inclusive view of architecture. In addition to two </w:t>
      </w:r>
      <w:proofErr w:type="spellStart"/>
      <w:r w:rsidRPr="00C77F4E">
        <w:rPr>
          <w:rFonts w:ascii="Helvetica" w:hAnsi="Helvetica" w:cs="Arial"/>
          <w:bCs/>
          <w:sz w:val="20"/>
          <w:szCs w:val="20"/>
        </w:rPr>
        <w:t>nonarchitects</w:t>
      </w:r>
      <w:proofErr w:type="spellEnd"/>
      <w:r w:rsidRPr="00C77F4E">
        <w:rPr>
          <w:rFonts w:ascii="Helvetica" w:hAnsi="Helvetica" w:cs="Arial"/>
          <w:bCs/>
          <w:sz w:val="20"/>
          <w:szCs w:val="20"/>
        </w:rPr>
        <w:t>, one with a background in academia and the other a generalist who together represent the public interest, the directors include individuals nominated by the four organizations that serve the profession of architecture:</w:t>
      </w:r>
    </w:p>
    <w:p w14:paraId="0FC89D57" w14:textId="77777777" w:rsidR="00B94225" w:rsidRPr="00C77F4E" w:rsidRDefault="00B94225" w:rsidP="009F36C5">
      <w:pPr>
        <w:numPr>
          <w:ilvl w:val="0"/>
          <w:numId w:val="29"/>
        </w:numPr>
        <w:tabs>
          <w:tab w:val="clear" w:pos="1080"/>
        </w:tabs>
        <w:spacing w:after="120" w:line="240" w:lineRule="auto"/>
        <w:rPr>
          <w:rFonts w:ascii="Helvetica" w:hAnsi="Helvetica" w:cs="Arial"/>
          <w:bCs/>
          <w:sz w:val="20"/>
          <w:szCs w:val="20"/>
        </w:rPr>
      </w:pPr>
      <w:r w:rsidRPr="00C77F4E">
        <w:rPr>
          <w:rFonts w:ascii="Helvetica" w:hAnsi="Helvetica" w:cs="Arial"/>
          <w:bCs/>
          <w:sz w:val="20"/>
          <w:szCs w:val="20"/>
        </w:rPr>
        <w:t xml:space="preserve">The American Institute of Architects. Since 1857, the AIA has represented the professional interests of America’s architects.  AIA numbers more than 83,000 licensed architects, emerging professionals, and allied partners who, in design, express their commitment to excellence and livability in our nation’s buildings and communities.  </w:t>
      </w:r>
    </w:p>
    <w:p w14:paraId="1E48D1C6" w14:textId="77777777" w:rsidR="00B94225" w:rsidRPr="00C77F4E" w:rsidRDefault="00B94225" w:rsidP="009F36C5">
      <w:pPr>
        <w:numPr>
          <w:ilvl w:val="0"/>
          <w:numId w:val="29"/>
        </w:numPr>
        <w:tabs>
          <w:tab w:val="clear" w:pos="1080"/>
        </w:tabs>
        <w:spacing w:after="120" w:line="240" w:lineRule="auto"/>
        <w:rPr>
          <w:rFonts w:ascii="Helvetica" w:hAnsi="Helvetica" w:cs="Arial"/>
          <w:bCs/>
          <w:sz w:val="20"/>
          <w:szCs w:val="20"/>
        </w:rPr>
      </w:pPr>
      <w:r w:rsidRPr="00C77F4E">
        <w:rPr>
          <w:rFonts w:ascii="Helvetica" w:hAnsi="Helvetica" w:cs="Arial"/>
          <w:bCs/>
          <w:sz w:val="20"/>
          <w:szCs w:val="20"/>
        </w:rPr>
        <w:t>The American Institute of Architecture Students. Founded in 1956, the AIAS serves architecture and design students throughout North America by promoting and complementing architectural education and by representing the concerns of students to the profession and the public.</w:t>
      </w:r>
    </w:p>
    <w:p w14:paraId="6AA45120" w14:textId="77777777" w:rsidR="00B94225" w:rsidRPr="00C77F4E" w:rsidRDefault="00B94225" w:rsidP="009F36C5">
      <w:pPr>
        <w:numPr>
          <w:ilvl w:val="0"/>
          <w:numId w:val="29"/>
        </w:numPr>
        <w:tabs>
          <w:tab w:val="clear" w:pos="1080"/>
        </w:tabs>
        <w:spacing w:after="120" w:line="240" w:lineRule="auto"/>
        <w:rPr>
          <w:rFonts w:ascii="Helvetica" w:hAnsi="Helvetica" w:cs="Arial"/>
          <w:sz w:val="20"/>
          <w:szCs w:val="20"/>
        </w:rPr>
      </w:pPr>
      <w:r w:rsidRPr="00C77F4E">
        <w:rPr>
          <w:rFonts w:ascii="Helvetica" w:hAnsi="Helvetica" w:cs="Arial"/>
          <w:bCs/>
          <w:sz w:val="20"/>
          <w:szCs w:val="20"/>
        </w:rPr>
        <w:t>The Association of Collegiate Schools of Architecture.  The mission of ACSA, founded in 1912, is to advance architectural education through support of member schools, their faculties, and their students.</w:t>
      </w:r>
      <w:r w:rsidRPr="00C77F4E">
        <w:rPr>
          <w:rFonts w:ascii="Helvetica" w:hAnsi="Helvetica" w:cs="Arial"/>
          <w:color w:val="0000FF"/>
          <w:sz w:val="20"/>
          <w:szCs w:val="20"/>
        </w:rPr>
        <w:t xml:space="preserve"> </w:t>
      </w:r>
      <w:r w:rsidRPr="00C77F4E">
        <w:rPr>
          <w:rFonts w:ascii="Helvetica" w:hAnsi="Helvetica" w:cs="Arial"/>
          <w:bCs/>
          <w:sz w:val="20"/>
          <w:szCs w:val="20"/>
        </w:rPr>
        <w:t xml:space="preserve"> </w:t>
      </w:r>
    </w:p>
    <w:p w14:paraId="3CC91B4E" w14:textId="77777777" w:rsidR="00B94225" w:rsidRPr="00C77F4E" w:rsidRDefault="00B94225" w:rsidP="009F36C5">
      <w:pPr>
        <w:numPr>
          <w:ilvl w:val="0"/>
          <w:numId w:val="29"/>
        </w:numPr>
        <w:tabs>
          <w:tab w:val="clear" w:pos="1080"/>
        </w:tabs>
        <w:spacing w:after="120" w:line="240" w:lineRule="auto"/>
        <w:rPr>
          <w:rFonts w:ascii="Helvetica" w:hAnsi="Helvetica" w:cs="Arial"/>
          <w:bCs/>
          <w:sz w:val="20"/>
          <w:szCs w:val="20"/>
        </w:rPr>
      </w:pPr>
      <w:r w:rsidRPr="00C77F4E">
        <w:rPr>
          <w:rFonts w:ascii="Helvetica" w:hAnsi="Helvetica" w:cs="Arial"/>
          <w:bCs/>
          <w:sz w:val="20"/>
          <w:szCs w:val="20"/>
        </w:rPr>
        <w:t>The National Council of Architectural Registration Boards. Founded in 1919, the NCARB today provides assistance in protecting the public’s health, safety, and welfare to 55 boards regulating architecture in the 50 states, 4 territories, and District of Columbia.</w:t>
      </w:r>
    </w:p>
    <w:p w14:paraId="0A2961A5" w14:textId="77777777" w:rsidR="00CB494A" w:rsidRPr="00C77F4E" w:rsidRDefault="00CB494A" w:rsidP="002F5349">
      <w:pPr>
        <w:pStyle w:val="NoSpacing"/>
        <w:spacing w:after="120"/>
        <w:rPr>
          <w:rFonts w:ascii="Helvetica" w:hAnsi="Helvetica" w:cs="Arial"/>
          <w:sz w:val="20"/>
          <w:szCs w:val="20"/>
        </w:rPr>
      </w:pPr>
    </w:p>
    <w:bookmarkEnd w:id="4"/>
    <w:p w14:paraId="7093B667" w14:textId="2E2A6FDC" w:rsidR="00C77F4E" w:rsidRPr="00C77F4E" w:rsidRDefault="00C77F4E">
      <w:pPr>
        <w:spacing w:after="0" w:line="240" w:lineRule="auto"/>
        <w:rPr>
          <w:rFonts w:ascii="Helvetica" w:hAnsi="Helvetica" w:cs="Arial"/>
          <w:bCs/>
          <w:sz w:val="20"/>
          <w:szCs w:val="20"/>
        </w:rPr>
      </w:pPr>
      <w:r w:rsidRPr="00C77F4E">
        <w:rPr>
          <w:rFonts w:ascii="Helvetica" w:hAnsi="Helvetica" w:cs="Arial"/>
          <w:bCs/>
          <w:sz w:val="20"/>
          <w:szCs w:val="20"/>
        </w:rPr>
        <w:br w:type="page"/>
      </w:r>
    </w:p>
    <w:p w14:paraId="27E04F24" w14:textId="77777777" w:rsidR="00C77F4E" w:rsidRPr="00C77F4E" w:rsidRDefault="00C77F4E" w:rsidP="00C77F4E">
      <w:pPr>
        <w:pStyle w:val="Heading1"/>
        <w:rPr>
          <w:rFonts w:ascii="Helvetica" w:hAnsi="Helvetica" w:cs="Arial"/>
          <w:b w:val="0"/>
          <w:bCs w:val="0"/>
          <w:smallCaps/>
          <w:color w:val="000000"/>
          <w:sz w:val="20"/>
          <w:szCs w:val="20"/>
        </w:rPr>
      </w:pPr>
      <w:bookmarkStart w:id="54" w:name="_Toc462758541"/>
      <w:r w:rsidRPr="00C77F4E">
        <w:rPr>
          <w:rFonts w:ascii="Helvetica" w:hAnsi="Helvetica" w:cs="Arial"/>
          <w:smallCaps/>
          <w:color w:val="000000"/>
          <w:sz w:val="20"/>
          <w:szCs w:val="20"/>
        </w:rPr>
        <w:t>Background to the 2013 NAAB Accreditation Review Conference (ARC13)</w:t>
      </w:r>
      <w:bookmarkEnd w:id="54"/>
    </w:p>
    <w:p w14:paraId="6348DA17" w14:textId="77777777" w:rsidR="00C77F4E" w:rsidRPr="00C77F4E" w:rsidRDefault="00C77F4E" w:rsidP="00C77F4E">
      <w:pPr>
        <w:pStyle w:val="Heading1"/>
        <w:rPr>
          <w:rFonts w:ascii="Helvetica" w:hAnsi="Helvetica" w:cs="Arial"/>
          <w:b w:val="0"/>
          <w:bCs w:val="0"/>
          <w:i/>
          <w:color w:val="000000"/>
          <w:sz w:val="20"/>
          <w:szCs w:val="20"/>
        </w:rPr>
      </w:pPr>
      <w:bookmarkStart w:id="55" w:name="_Toc462758542"/>
      <w:r w:rsidRPr="00C77F4E">
        <w:rPr>
          <w:rFonts w:ascii="Helvetica" w:hAnsi="Helvetica" w:cs="Arial"/>
          <w:i/>
          <w:color w:val="000000"/>
          <w:sz w:val="20"/>
          <w:szCs w:val="20"/>
        </w:rPr>
        <w:t>What’s Past is Prologue – The 2008 ARC</w:t>
      </w:r>
      <w:bookmarkEnd w:id="55"/>
    </w:p>
    <w:p w14:paraId="7CE37F2A" w14:textId="77777777" w:rsidR="00C77F4E" w:rsidRPr="00C77F4E" w:rsidRDefault="00C77F4E" w:rsidP="00C77F4E">
      <w:pPr>
        <w:pStyle w:val="ColorfulList-Accent11"/>
        <w:spacing w:after="120" w:line="240" w:lineRule="auto"/>
        <w:ind w:left="0"/>
        <w:contextualSpacing w:val="0"/>
        <w:rPr>
          <w:rFonts w:ascii="Helvetica" w:hAnsi="Helvetica" w:cs="Arial"/>
          <w:sz w:val="20"/>
          <w:szCs w:val="20"/>
        </w:rPr>
      </w:pPr>
      <w:r w:rsidRPr="00C77F4E">
        <w:rPr>
          <w:rFonts w:ascii="Helvetica" w:hAnsi="Helvetica" w:cs="Arial"/>
          <w:sz w:val="20"/>
          <w:szCs w:val="20"/>
        </w:rPr>
        <w:t>In 2008, the NAAB acknowledged that architecture education and practice had become more complex and therefore it was appropriate “to revise its accrediting process in response to the advice of its various constituencies.”</w:t>
      </w:r>
      <w:r w:rsidRPr="00C77F4E">
        <w:rPr>
          <w:rStyle w:val="FootnoteReference"/>
          <w:rFonts w:ascii="Helvetica" w:hAnsi="Helvetica" w:cs="Arial"/>
          <w:sz w:val="20"/>
          <w:szCs w:val="20"/>
        </w:rPr>
        <w:footnoteReference w:id="4"/>
      </w:r>
      <w:r w:rsidRPr="00C77F4E">
        <w:rPr>
          <w:rFonts w:ascii="Helvetica" w:hAnsi="Helvetica" w:cs="Arial"/>
          <w:sz w:val="20"/>
          <w:szCs w:val="20"/>
        </w:rPr>
        <w:t xml:space="preserve"> </w:t>
      </w:r>
    </w:p>
    <w:p w14:paraId="3E927428" w14:textId="77777777" w:rsidR="00C77F4E" w:rsidRPr="00C77F4E" w:rsidRDefault="00C77F4E" w:rsidP="00C77F4E">
      <w:pPr>
        <w:pStyle w:val="ColorfulList-Accent11"/>
        <w:spacing w:after="120" w:line="240" w:lineRule="auto"/>
        <w:ind w:left="0"/>
        <w:contextualSpacing w:val="0"/>
        <w:rPr>
          <w:rFonts w:ascii="Helvetica" w:hAnsi="Helvetica" w:cs="Arial"/>
          <w:sz w:val="20"/>
          <w:szCs w:val="20"/>
        </w:rPr>
      </w:pPr>
      <w:r w:rsidRPr="00C77F4E">
        <w:rPr>
          <w:rFonts w:ascii="Helvetica" w:hAnsi="Helvetica" w:cs="Arial"/>
          <w:sz w:val="20"/>
          <w:szCs w:val="20"/>
        </w:rPr>
        <w:t>In their 2008 white papers and issue briefs, the NAAB’s constituent partners were relatively consistent in much of the advice they offered. For example, nearly all the papers submitted by the collateral organizations, as well as those prepared by the NAAB’s own task groups, included the following recommendations:</w:t>
      </w:r>
    </w:p>
    <w:p w14:paraId="137EECCA" w14:textId="77777777" w:rsidR="00C77F4E" w:rsidRPr="00C77F4E" w:rsidRDefault="00C77F4E" w:rsidP="00C77F4E">
      <w:pPr>
        <w:pStyle w:val="ColorfulList-Accent11"/>
        <w:numPr>
          <w:ilvl w:val="0"/>
          <w:numId w:val="1"/>
        </w:numPr>
        <w:spacing w:after="120" w:line="240" w:lineRule="auto"/>
        <w:contextualSpacing w:val="0"/>
        <w:rPr>
          <w:rFonts w:ascii="Helvetica" w:hAnsi="Helvetica" w:cs="Arial"/>
          <w:sz w:val="20"/>
          <w:szCs w:val="20"/>
        </w:rPr>
      </w:pPr>
      <w:r w:rsidRPr="00C77F4E">
        <w:rPr>
          <w:rFonts w:ascii="Helvetica" w:hAnsi="Helvetica" w:cs="Arial"/>
          <w:sz w:val="20"/>
          <w:szCs w:val="20"/>
        </w:rPr>
        <w:t>Include a specific and comprehensive commitment to environmental sustainability in the Student Performance Criteria (SPC).</w:t>
      </w:r>
    </w:p>
    <w:p w14:paraId="074EB516" w14:textId="77777777" w:rsidR="00C77F4E" w:rsidRPr="00C77F4E" w:rsidRDefault="00C77F4E" w:rsidP="00C77F4E">
      <w:pPr>
        <w:pStyle w:val="ColorfulList-Accent11"/>
        <w:numPr>
          <w:ilvl w:val="0"/>
          <w:numId w:val="1"/>
        </w:numPr>
        <w:spacing w:after="120" w:line="240" w:lineRule="auto"/>
        <w:contextualSpacing w:val="0"/>
        <w:rPr>
          <w:rFonts w:ascii="Helvetica" w:hAnsi="Helvetica" w:cs="Arial"/>
          <w:sz w:val="20"/>
          <w:szCs w:val="20"/>
        </w:rPr>
      </w:pPr>
      <w:r w:rsidRPr="00C77F4E">
        <w:rPr>
          <w:rFonts w:ascii="Helvetica" w:hAnsi="Helvetica" w:cs="Arial"/>
          <w:sz w:val="20"/>
          <w:szCs w:val="20"/>
        </w:rPr>
        <w:t>Prepare graduates for global practice through cross-cultural and cross-curricular experiences in other disciplines.</w:t>
      </w:r>
    </w:p>
    <w:p w14:paraId="7185CD34" w14:textId="77777777" w:rsidR="00C77F4E" w:rsidRPr="00C77F4E" w:rsidRDefault="00C77F4E" w:rsidP="00C77F4E">
      <w:pPr>
        <w:pStyle w:val="ColorfulList-Accent11"/>
        <w:numPr>
          <w:ilvl w:val="0"/>
          <w:numId w:val="1"/>
        </w:numPr>
        <w:spacing w:after="120" w:line="240" w:lineRule="auto"/>
        <w:contextualSpacing w:val="0"/>
        <w:rPr>
          <w:rFonts w:ascii="Helvetica" w:hAnsi="Helvetica" w:cs="Arial"/>
          <w:sz w:val="20"/>
          <w:szCs w:val="20"/>
        </w:rPr>
      </w:pPr>
      <w:r w:rsidRPr="00C77F4E">
        <w:rPr>
          <w:rFonts w:ascii="Helvetica" w:hAnsi="Helvetica" w:cs="Arial"/>
          <w:sz w:val="20"/>
          <w:szCs w:val="20"/>
        </w:rPr>
        <w:t xml:space="preserve">Prepare graduates who are able to practice ethically and professionally with an understanding of the centrality of the client to their work. </w:t>
      </w:r>
    </w:p>
    <w:p w14:paraId="351E3748" w14:textId="77777777" w:rsidR="00C77F4E" w:rsidRPr="00C77F4E" w:rsidRDefault="00C77F4E" w:rsidP="00C77F4E">
      <w:pPr>
        <w:pStyle w:val="ColorfulList-Accent11"/>
        <w:numPr>
          <w:ilvl w:val="0"/>
          <w:numId w:val="1"/>
        </w:numPr>
        <w:spacing w:after="120" w:line="240" w:lineRule="auto"/>
        <w:contextualSpacing w:val="0"/>
        <w:rPr>
          <w:rFonts w:ascii="Helvetica" w:hAnsi="Helvetica" w:cs="Arial"/>
          <w:sz w:val="20"/>
          <w:szCs w:val="20"/>
        </w:rPr>
      </w:pPr>
      <w:r w:rsidRPr="00C77F4E">
        <w:rPr>
          <w:rFonts w:ascii="Helvetica" w:hAnsi="Helvetica" w:cs="Arial"/>
          <w:sz w:val="20"/>
          <w:szCs w:val="20"/>
        </w:rPr>
        <w:t>Include a specific and measurable commitment to increasing the diversity of student and faculty populations in accredited programs relative to gender, race/ethnicity, age, religion, sexual orientation, and physical ability.</w:t>
      </w:r>
    </w:p>
    <w:p w14:paraId="633B9481" w14:textId="77777777" w:rsidR="00C77F4E" w:rsidRPr="00C77F4E" w:rsidRDefault="00C77F4E" w:rsidP="00C77F4E">
      <w:pPr>
        <w:pStyle w:val="ColorfulList-Accent11"/>
        <w:numPr>
          <w:ilvl w:val="0"/>
          <w:numId w:val="1"/>
        </w:numPr>
        <w:spacing w:after="120" w:line="240" w:lineRule="auto"/>
        <w:contextualSpacing w:val="0"/>
        <w:rPr>
          <w:rFonts w:ascii="Helvetica" w:hAnsi="Helvetica" w:cs="Arial"/>
          <w:sz w:val="20"/>
          <w:szCs w:val="20"/>
        </w:rPr>
      </w:pPr>
      <w:r w:rsidRPr="00C77F4E">
        <w:rPr>
          <w:rFonts w:ascii="Helvetica" w:hAnsi="Helvetica" w:cs="Arial"/>
          <w:sz w:val="20"/>
          <w:szCs w:val="20"/>
        </w:rPr>
        <w:t>Strengthen the connection between planning and self-assessment by programs and demonstrate a commitment to continuous improvement.</w:t>
      </w:r>
    </w:p>
    <w:p w14:paraId="7FBD0069" w14:textId="77777777" w:rsidR="00C77F4E" w:rsidRPr="00C77F4E" w:rsidRDefault="00C77F4E" w:rsidP="00C77F4E">
      <w:pPr>
        <w:pStyle w:val="ColorfulList-Accent11"/>
        <w:spacing w:after="120" w:line="240" w:lineRule="auto"/>
        <w:ind w:left="0"/>
        <w:contextualSpacing w:val="0"/>
        <w:rPr>
          <w:rFonts w:ascii="Helvetica" w:hAnsi="Helvetica" w:cs="Arial"/>
          <w:sz w:val="20"/>
          <w:szCs w:val="20"/>
        </w:rPr>
      </w:pPr>
      <w:r w:rsidRPr="00C77F4E">
        <w:rPr>
          <w:rFonts w:ascii="Helvetica" w:hAnsi="Helvetica" w:cs="Arial"/>
          <w:sz w:val="20"/>
          <w:szCs w:val="20"/>
        </w:rPr>
        <w:t xml:space="preserve">As the NAAB directors reviewed these outcomes, as well as the Board’s own practices and procedures, several things became clear. </w:t>
      </w:r>
    </w:p>
    <w:p w14:paraId="10C5BD66" w14:textId="77777777" w:rsidR="00C77F4E" w:rsidRPr="00C77F4E" w:rsidRDefault="00C77F4E" w:rsidP="009F36C5">
      <w:pPr>
        <w:pStyle w:val="ColorfulList-Accent11"/>
        <w:numPr>
          <w:ilvl w:val="0"/>
          <w:numId w:val="24"/>
        </w:numPr>
        <w:spacing w:after="120" w:line="240" w:lineRule="auto"/>
        <w:contextualSpacing w:val="0"/>
        <w:rPr>
          <w:rFonts w:ascii="Helvetica" w:hAnsi="Helvetica" w:cs="Arial"/>
          <w:sz w:val="20"/>
          <w:szCs w:val="20"/>
        </w:rPr>
      </w:pPr>
      <w:r w:rsidRPr="00C77F4E">
        <w:rPr>
          <w:rFonts w:ascii="Helvetica" w:hAnsi="Helvetica" w:cs="Arial"/>
          <w:sz w:val="20"/>
          <w:szCs w:val="20"/>
        </w:rPr>
        <w:t xml:space="preserve">The Board agreed that the </w:t>
      </w:r>
      <w:r w:rsidRPr="00C77F4E">
        <w:rPr>
          <w:rFonts w:ascii="Helvetica" w:hAnsi="Helvetica" w:cs="Arial"/>
          <w:i/>
          <w:sz w:val="20"/>
          <w:szCs w:val="20"/>
        </w:rPr>
        <w:t>2004 Conditions for Accreditation</w:t>
      </w:r>
      <w:r w:rsidRPr="00C77F4E">
        <w:rPr>
          <w:rFonts w:ascii="Helvetica" w:hAnsi="Helvetica" w:cs="Arial"/>
          <w:sz w:val="20"/>
          <w:szCs w:val="20"/>
        </w:rPr>
        <w:t xml:space="preserve"> (13 conditions, including SPC), generally speaking, contained all the critical requirements and expectations for a professional degree in architecture. However, within several of conditions 1-12, expectations for student learning or achievement were embedded with expectations for institutional commitment or assessment. </w:t>
      </w:r>
    </w:p>
    <w:p w14:paraId="0CFFB246" w14:textId="77777777" w:rsidR="00C77F4E" w:rsidRPr="00C77F4E" w:rsidRDefault="00C77F4E" w:rsidP="009F36C5">
      <w:pPr>
        <w:pStyle w:val="ColorfulList-Accent11"/>
        <w:numPr>
          <w:ilvl w:val="0"/>
          <w:numId w:val="24"/>
        </w:numPr>
        <w:spacing w:after="120" w:line="240" w:lineRule="auto"/>
        <w:contextualSpacing w:val="0"/>
        <w:rPr>
          <w:rFonts w:ascii="Helvetica" w:hAnsi="Helvetica" w:cs="Arial"/>
          <w:sz w:val="20"/>
          <w:szCs w:val="20"/>
        </w:rPr>
      </w:pPr>
      <w:r w:rsidRPr="00C77F4E">
        <w:rPr>
          <w:rFonts w:ascii="Helvetica" w:hAnsi="Helvetica" w:cs="Arial"/>
          <w:sz w:val="20"/>
          <w:szCs w:val="20"/>
        </w:rPr>
        <w:t xml:space="preserve">Next, as a matter of practice, the </w:t>
      </w:r>
      <w:r w:rsidRPr="00C77F4E">
        <w:rPr>
          <w:rFonts w:ascii="Helvetica" w:hAnsi="Helvetica" w:cs="Arial"/>
          <w:i/>
          <w:sz w:val="20"/>
          <w:szCs w:val="20"/>
        </w:rPr>
        <w:t>Architecture Program Reports</w:t>
      </w:r>
      <w:r w:rsidRPr="00C77F4E">
        <w:rPr>
          <w:rFonts w:ascii="Helvetica" w:hAnsi="Helvetica" w:cs="Arial"/>
          <w:sz w:val="20"/>
          <w:szCs w:val="20"/>
        </w:rPr>
        <w:t xml:space="preserve"> (APRs), and the visits tended to treat all conditions as equal, and deserving of a “Met/Not-Met” designation, when, in reality, certain parts of the </w:t>
      </w:r>
      <w:r w:rsidRPr="00C77F4E">
        <w:rPr>
          <w:rFonts w:ascii="Helvetica" w:hAnsi="Helvetica" w:cs="Arial"/>
          <w:i/>
          <w:sz w:val="20"/>
          <w:szCs w:val="20"/>
        </w:rPr>
        <w:t>2004 Conditions</w:t>
      </w:r>
      <w:r w:rsidRPr="00C77F4E">
        <w:rPr>
          <w:rFonts w:ascii="Helvetica" w:hAnsi="Helvetica" w:cs="Arial"/>
          <w:sz w:val="20"/>
          <w:szCs w:val="20"/>
        </w:rPr>
        <w:t xml:space="preserve"> could not be assessed in this way. Likewise all SPC were treated as equal when in practice some were “more equal than others.” Thus, the NAAB Board agreed it was not only appropriate to revise the content of SPC to be relevant in light of current practice and professional concerns, but also to group both conditions and SPC in a way that reflected their relationships to one another and their relative importance overall.</w:t>
      </w:r>
    </w:p>
    <w:p w14:paraId="4866CE18" w14:textId="77777777" w:rsidR="00C77F4E" w:rsidRPr="00C77F4E" w:rsidRDefault="00C77F4E" w:rsidP="009F36C5">
      <w:pPr>
        <w:pStyle w:val="ColorfulList-Accent11"/>
        <w:numPr>
          <w:ilvl w:val="0"/>
          <w:numId w:val="24"/>
        </w:numPr>
        <w:spacing w:after="120" w:line="240" w:lineRule="auto"/>
        <w:contextualSpacing w:val="0"/>
        <w:rPr>
          <w:rFonts w:ascii="Helvetica" w:hAnsi="Helvetica" w:cs="Arial"/>
          <w:sz w:val="20"/>
          <w:szCs w:val="20"/>
        </w:rPr>
      </w:pPr>
      <w:r w:rsidRPr="00C77F4E">
        <w:rPr>
          <w:rFonts w:ascii="Helvetica" w:hAnsi="Helvetica" w:cs="Arial"/>
          <w:sz w:val="20"/>
          <w:szCs w:val="20"/>
        </w:rPr>
        <w:t>Finally, the Board agreed that it was time to implement processes for internal and external assessment and review of the NAAB itself both in terms of the effectiveness of its procedures and its compliance with best practices as defined by independent organizations. Today, this effort is led by the NAAB’s Assessment and Evaluation Committee.</w:t>
      </w:r>
    </w:p>
    <w:p w14:paraId="2AFD3E12" w14:textId="77777777" w:rsidR="00C77F4E" w:rsidRPr="00C77F4E" w:rsidRDefault="00C77F4E" w:rsidP="00C77F4E">
      <w:pPr>
        <w:pStyle w:val="ColorfulList-Accent11"/>
        <w:spacing w:after="120" w:line="240" w:lineRule="auto"/>
        <w:ind w:left="0"/>
        <w:contextualSpacing w:val="0"/>
        <w:rPr>
          <w:rFonts w:ascii="Helvetica" w:hAnsi="Helvetica" w:cs="Arial"/>
          <w:sz w:val="20"/>
          <w:szCs w:val="20"/>
        </w:rPr>
      </w:pPr>
      <w:r w:rsidRPr="00C77F4E">
        <w:rPr>
          <w:rFonts w:ascii="Helvetica" w:hAnsi="Helvetica" w:cs="Arial"/>
          <w:sz w:val="20"/>
          <w:szCs w:val="20"/>
        </w:rPr>
        <w:t xml:space="preserve">In developing the model that drove development of the </w:t>
      </w:r>
      <w:r w:rsidRPr="00C77F4E">
        <w:rPr>
          <w:rFonts w:ascii="Helvetica" w:hAnsi="Helvetica" w:cs="Arial"/>
          <w:i/>
          <w:sz w:val="20"/>
          <w:szCs w:val="20"/>
        </w:rPr>
        <w:t xml:space="preserve">2009 Conditions, </w:t>
      </w:r>
      <w:r w:rsidRPr="00C77F4E">
        <w:rPr>
          <w:rFonts w:ascii="Helvetica" w:hAnsi="Helvetica" w:cs="Arial"/>
          <w:sz w:val="20"/>
          <w:szCs w:val="20"/>
        </w:rPr>
        <w:t>the Board was able to address all of these matters:</w:t>
      </w:r>
    </w:p>
    <w:p w14:paraId="5042F9BA" w14:textId="77777777" w:rsidR="00C77F4E" w:rsidRPr="00C77F4E" w:rsidRDefault="00C77F4E" w:rsidP="00C77F4E">
      <w:pPr>
        <w:spacing w:after="120" w:line="240" w:lineRule="auto"/>
        <w:rPr>
          <w:rFonts w:ascii="Helvetica" w:hAnsi="Helvetica" w:cs="Arial"/>
          <w:bCs/>
          <w:sz w:val="20"/>
          <w:szCs w:val="20"/>
        </w:rPr>
      </w:pPr>
      <w:r w:rsidRPr="00C77F4E">
        <w:rPr>
          <w:rFonts w:ascii="Helvetica" w:hAnsi="Helvetica" w:cs="Arial"/>
          <w:bCs/>
          <w:sz w:val="20"/>
          <w:szCs w:val="20"/>
        </w:rPr>
        <w:t>The result of the process in 2008 was described as the Fusion Model:</w:t>
      </w:r>
    </w:p>
    <w:p w14:paraId="34732F76" w14:textId="77777777" w:rsidR="00C77F4E" w:rsidRPr="00C77F4E" w:rsidRDefault="00C77F4E" w:rsidP="00C77F4E">
      <w:pPr>
        <w:spacing w:after="120" w:line="240" w:lineRule="auto"/>
        <w:jc w:val="center"/>
        <w:rPr>
          <w:rFonts w:ascii="Helvetica" w:hAnsi="Helvetica" w:cs="Arial"/>
          <w:bCs/>
          <w:sz w:val="20"/>
          <w:szCs w:val="20"/>
        </w:rPr>
      </w:pPr>
      <w:r w:rsidRPr="00C77F4E">
        <w:rPr>
          <w:rFonts w:ascii="Helvetica" w:hAnsi="Helvetica" w:cs="Arial"/>
          <w:noProof/>
          <w:sz w:val="20"/>
          <w:szCs w:val="20"/>
        </w:rPr>
        <w:drawing>
          <wp:inline distT="0" distB="0" distL="0" distR="0" wp14:anchorId="4669FCF2" wp14:editId="6B199931">
            <wp:extent cx="3096895" cy="400240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6895" cy="4002405"/>
                    </a:xfrm>
                    <a:prstGeom prst="rect">
                      <a:avLst/>
                    </a:prstGeom>
                    <a:noFill/>
                    <a:ln>
                      <a:noFill/>
                    </a:ln>
                  </pic:spPr>
                </pic:pic>
              </a:graphicData>
            </a:graphic>
          </wp:inline>
        </w:drawing>
      </w:r>
    </w:p>
    <w:p w14:paraId="41F08202" w14:textId="77777777" w:rsidR="00C77F4E" w:rsidRPr="00C77F4E" w:rsidRDefault="00C77F4E" w:rsidP="00C77F4E">
      <w:pPr>
        <w:pStyle w:val="ColorfulList-Accent11"/>
        <w:spacing w:after="120" w:line="240" w:lineRule="auto"/>
        <w:ind w:left="0"/>
        <w:contextualSpacing w:val="0"/>
        <w:rPr>
          <w:rFonts w:ascii="Helvetica" w:hAnsi="Helvetica" w:cs="Arial"/>
          <w:sz w:val="20"/>
          <w:szCs w:val="20"/>
        </w:rPr>
      </w:pPr>
      <w:r w:rsidRPr="00C77F4E">
        <w:rPr>
          <w:rFonts w:ascii="Helvetica" w:hAnsi="Helvetica" w:cs="Arial"/>
          <w:sz w:val="20"/>
          <w:szCs w:val="20"/>
        </w:rPr>
        <w:t xml:space="preserve">The </w:t>
      </w:r>
      <w:r w:rsidRPr="00C77F4E">
        <w:rPr>
          <w:rFonts w:ascii="Helvetica" w:hAnsi="Helvetica" w:cs="Arial"/>
          <w:i/>
          <w:sz w:val="20"/>
          <w:szCs w:val="20"/>
        </w:rPr>
        <w:t>2009 Conditions for Accreditation</w:t>
      </w:r>
      <w:r w:rsidRPr="00C77F4E">
        <w:rPr>
          <w:rFonts w:ascii="Helvetica" w:hAnsi="Helvetica" w:cs="Arial"/>
          <w:sz w:val="20"/>
          <w:szCs w:val="20"/>
        </w:rPr>
        <w:t xml:space="preserve">, while based initially on the 2008 Fusion Model, were ultimately a combination of input from collateral organizations, individual comments, and the findings of the 2008 Architectural Review Conference (ARC).  </w:t>
      </w:r>
    </w:p>
    <w:p w14:paraId="42B84CC9" w14:textId="77777777" w:rsidR="00C77F4E" w:rsidRPr="00C77F4E" w:rsidRDefault="00C77F4E" w:rsidP="00C77F4E">
      <w:pPr>
        <w:pStyle w:val="ColorfulList-Accent11"/>
        <w:spacing w:after="120" w:line="240" w:lineRule="auto"/>
        <w:ind w:left="0"/>
        <w:contextualSpacing w:val="0"/>
        <w:rPr>
          <w:rFonts w:ascii="Helvetica" w:eastAsia="Times New Roman" w:hAnsi="Helvetica" w:cs="Arial"/>
          <w:sz w:val="20"/>
          <w:szCs w:val="20"/>
        </w:rPr>
      </w:pPr>
      <w:r w:rsidRPr="00C77F4E">
        <w:rPr>
          <w:rFonts w:ascii="Helvetica" w:hAnsi="Helvetica" w:cs="Arial"/>
          <w:sz w:val="20"/>
          <w:szCs w:val="20"/>
        </w:rPr>
        <w:t xml:space="preserve">In many regards, the basic purposes of the </w:t>
      </w:r>
      <w:r w:rsidRPr="00C77F4E">
        <w:rPr>
          <w:rFonts w:ascii="Helvetica" w:hAnsi="Helvetica" w:cs="Arial"/>
          <w:i/>
          <w:sz w:val="20"/>
          <w:szCs w:val="20"/>
        </w:rPr>
        <w:t>1998</w:t>
      </w:r>
      <w:r w:rsidRPr="00C77F4E">
        <w:rPr>
          <w:rFonts w:ascii="Helvetica" w:hAnsi="Helvetica" w:cs="Arial"/>
          <w:sz w:val="20"/>
          <w:szCs w:val="20"/>
        </w:rPr>
        <w:t xml:space="preserve"> and </w:t>
      </w:r>
      <w:r w:rsidRPr="00C77F4E">
        <w:rPr>
          <w:rFonts w:ascii="Helvetica" w:hAnsi="Helvetica" w:cs="Arial"/>
          <w:i/>
          <w:sz w:val="20"/>
          <w:szCs w:val="20"/>
        </w:rPr>
        <w:t xml:space="preserve">2004 Conditions for Accreditation </w:t>
      </w:r>
      <w:r w:rsidRPr="00C77F4E">
        <w:rPr>
          <w:rFonts w:ascii="Helvetica" w:hAnsi="Helvetica" w:cs="Arial"/>
          <w:sz w:val="20"/>
          <w:szCs w:val="20"/>
        </w:rPr>
        <w:t xml:space="preserve">were sustained in the </w:t>
      </w:r>
      <w:r w:rsidRPr="00C77F4E">
        <w:rPr>
          <w:rFonts w:ascii="Helvetica" w:hAnsi="Helvetica" w:cs="Arial"/>
          <w:i/>
          <w:sz w:val="20"/>
          <w:szCs w:val="20"/>
        </w:rPr>
        <w:t>2009 Conditions for Accreditation.</w:t>
      </w:r>
      <w:r w:rsidRPr="00C77F4E">
        <w:rPr>
          <w:rFonts w:ascii="Helvetica" w:hAnsi="Helvetica" w:cs="Arial"/>
          <w:sz w:val="20"/>
          <w:szCs w:val="20"/>
        </w:rPr>
        <w:t xml:space="preserve"> Likewise, t</w:t>
      </w:r>
      <w:r w:rsidRPr="00C77F4E">
        <w:rPr>
          <w:rFonts w:ascii="Helvetica" w:eastAsia="Times New Roman" w:hAnsi="Helvetica" w:cs="Arial"/>
          <w:sz w:val="20"/>
          <w:szCs w:val="20"/>
        </w:rPr>
        <w:t>he central</w:t>
      </w:r>
      <w:r w:rsidRPr="00C77F4E">
        <w:rPr>
          <w:rFonts w:ascii="Helvetica" w:hAnsi="Helvetica" w:cs="Arial"/>
          <w:color w:val="0000FF"/>
          <w:sz w:val="20"/>
          <w:szCs w:val="20"/>
        </w:rPr>
        <w:t xml:space="preserve"> </w:t>
      </w:r>
      <w:r w:rsidRPr="00C77F4E">
        <w:rPr>
          <w:rFonts w:ascii="Helvetica" w:eastAsia="Times New Roman" w:hAnsi="Helvetica" w:cs="Arial"/>
          <w:sz w:val="20"/>
          <w:szCs w:val="20"/>
        </w:rPr>
        <w:t xml:space="preserve">attributes of voluntary accreditation remained and the core elements of the NAAB’s process persisted: </w:t>
      </w:r>
    </w:p>
    <w:p w14:paraId="33668E7E" w14:textId="77777777" w:rsidR="00C77F4E" w:rsidRPr="00C77F4E" w:rsidRDefault="00C77F4E" w:rsidP="00C77F4E">
      <w:pPr>
        <w:pStyle w:val="ColorfulList-Accent11"/>
        <w:numPr>
          <w:ilvl w:val="0"/>
          <w:numId w:val="2"/>
        </w:numPr>
        <w:spacing w:after="120" w:line="240" w:lineRule="auto"/>
        <w:contextualSpacing w:val="0"/>
        <w:rPr>
          <w:rFonts w:ascii="Helvetica" w:hAnsi="Helvetica" w:cs="Arial"/>
          <w:sz w:val="20"/>
          <w:szCs w:val="20"/>
        </w:rPr>
      </w:pPr>
      <w:r w:rsidRPr="00C77F4E">
        <w:rPr>
          <w:rFonts w:ascii="Helvetica" w:hAnsi="Helvetica" w:cs="Arial"/>
          <w:sz w:val="20"/>
          <w:szCs w:val="20"/>
        </w:rPr>
        <w:t>Programs are required to document their compliance with the conditions through a comprehensive, self-analytical report.</w:t>
      </w:r>
    </w:p>
    <w:p w14:paraId="00753897" w14:textId="77777777" w:rsidR="00C77F4E" w:rsidRPr="00C77F4E" w:rsidRDefault="00C77F4E" w:rsidP="00C77F4E">
      <w:pPr>
        <w:pStyle w:val="ColorfulList-Accent11"/>
        <w:numPr>
          <w:ilvl w:val="0"/>
          <w:numId w:val="2"/>
        </w:numPr>
        <w:spacing w:after="120" w:line="240" w:lineRule="auto"/>
        <w:contextualSpacing w:val="0"/>
        <w:rPr>
          <w:rFonts w:ascii="Helvetica" w:hAnsi="Helvetica" w:cs="Arial"/>
          <w:sz w:val="20"/>
          <w:szCs w:val="20"/>
        </w:rPr>
      </w:pPr>
      <w:r w:rsidRPr="00C77F4E">
        <w:rPr>
          <w:rFonts w:ascii="Helvetica" w:hAnsi="Helvetica" w:cs="Arial"/>
          <w:sz w:val="20"/>
          <w:szCs w:val="20"/>
        </w:rPr>
        <w:t>A team visits the program to confirm the results of the report and to document additional compliance through the review of student work, institutional policies, interviews, and other records.</w:t>
      </w:r>
    </w:p>
    <w:p w14:paraId="2C08B0E7" w14:textId="77777777" w:rsidR="00C77F4E" w:rsidRPr="00C77F4E" w:rsidRDefault="00C77F4E" w:rsidP="00C77F4E">
      <w:pPr>
        <w:pStyle w:val="ColorfulList-Accent11"/>
        <w:numPr>
          <w:ilvl w:val="0"/>
          <w:numId w:val="2"/>
        </w:numPr>
        <w:spacing w:after="120" w:line="240" w:lineRule="auto"/>
        <w:contextualSpacing w:val="0"/>
        <w:rPr>
          <w:rFonts w:ascii="Helvetica" w:hAnsi="Helvetica" w:cs="Arial"/>
          <w:sz w:val="20"/>
          <w:szCs w:val="20"/>
        </w:rPr>
      </w:pPr>
      <w:r w:rsidRPr="00C77F4E">
        <w:rPr>
          <w:rFonts w:ascii="Helvetica" w:hAnsi="Helvetica" w:cs="Arial"/>
          <w:sz w:val="20"/>
          <w:szCs w:val="20"/>
        </w:rPr>
        <w:t>The final decision is made by the NAAB directors.</w:t>
      </w:r>
    </w:p>
    <w:p w14:paraId="647762A9" w14:textId="77777777" w:rsidR="00C77F4E" w:rsidRPr="00C77F4E" w:rsidRDefault="00C77F4E" w:rsidP="00C77F4E">
      <w:pPr>
        <w:spacing w:after="120" w:line="240" w:lineRule="auto"/>
        <w:rPr>
          <w:rFonts w:ascii="Helvetica" w:hAnsi="Helvetica" w:cs="Arial"/>
          <w:bCs/>
          <w:sz w:val="20"/>
          <w:szCs w:val="20"/>
        </w:rPr>
      </w:pPr>
      <w:r w:rsidRPr="00C77F4E">
        <w:rPr>
          <w:rFonts w:ascii="Helvetica" w:hAnsi="Helvetica" w:cs="Arial"/>
          <w:bCs/>
          <w:sz w:val="20"/>
          <w:szCs w:val="20"/>
        </w:rPr>
        <w:t xml:space="preserve">In addition to </w:t>
      </w:r>
      <w:r w:rsidRPr="00C77F4E">
        <w:rPr>
          <w:rFonts w:ascii="Helvetica" w:hAnsi="Helvetica" w:cs="Arial"/>
          <w:bCs/>
          <w:i/>
          <w:sz w:val="20"/>
          <w:szCs w:val="20"/>
        </w:rPr>
        <w:t xml:space="preserve">The NAAB 2009 Conditions for Accreditation, </w:t>
      </w:r>
      <w:r w:rsidRPr="00C77F4E">
        <w:rPr>
          <w:rFonts w:ascii="Helvetica" w:hAnsi="Helvetica" w:cs="Arial"/>
          <w:bCs/>
          <w:sz w:val="20"/>
          <w:szCs w:val="20"/>
        </w:rPr>
        <w:t>the 2008 process also gave the NAAB the opportunity for the following:</w:t>
      </w:r>
    </w:p>
    <w:p w14:paraId="5310E371" w14:textId="77777777" w:rsidR="00C77F4E" w:rsidRPr="00C77F4E" w:rsidRDefault="00C77F4E" w:rsidP="009F36C5">
      <w:pPr>
        <w:pStyle w:val="ListParagraph"/>
        <w:numPr>
          <w:ilvl w:val="0"/>
          <w:numId w:val="23"/>
        </w:numPr>
        <w:spacing w:after="120" w:line="240" w:lineRule="auto"/>
        <w:rPr>
          <w:rFonts w:ascii="Helvetica" w:hAnsi="Helvetica" w:cs="Arial"/>
          <w:bCs/>
          <w:sz w:val="20"/>
          <w:szCs w:val="20"/>
        </w:rPr>
      </w:pPr>
      <w:r w:rsidRPr="00C77F4E">
        <w:rPr>
          <w:rFonts w:ascii="Helvetica" w:hAnsi="Helvetica" w:cs="Arial"/>
          <w:bCs/>
          <w:sz w:val="20"/>
          <w:szCs w:val="20"/>
        </w:rPr>
        <w:t>Major procedural review and overhaul (continuous since 2008).</w:t>
      </w:r>
    </w:p>
    <w:p w14:paraId="49F259BD" w14:textId="77777777" w:rsidR="00C77F4E" w:rsidRPr="00C77F4E" w:rsidRDefault="00C77F4E" w:rsidP="009F36C5">
      <w:pPr>
        <w:pStyle w:val="ListParagraph"/>
        <w:numPr>
          <w:ilvl w:val="0"/>
          <w:numId w:val="23"/>
        </w:numPr>
        <w:spacing w:after="120" w:line="240" w:lineRule="auto"/>
        <w:rPr>
          <w:rFonts w:ascii="Helvetica" w:hAnsi="Helvetica" w:cs="Arial"/>
          <w:bCs/>
          <w:sz w:val="20"/>
          <w:szCs w:val="20"/>
        </w:rPr>
      </w:pPr>
      <w:r w:rsidRPr="00C77F4E">
        <w:rPr>
          <w:rFonts w:ascii="Helvetica" w:hAnsi="Helvetica" w:cs="Arial"/>
          <w:bCs/>
          <w:sz w:val="20"/>
          <w:szCs w:val="20"/>
        </w:rPr>
        <w:t>Significant revisions to team training protocols (continuous since 2009).</w:t>
      </w:r>
    </w:p>
    <w:p w14:paraId="716992E1" w14:textId="77777777" w:rsidR="00C77F4E" w:rsidRPr="00C77F4E" w:rsidRDefault="00C77F4E" w:rsidP="009F36C5">
      <w:pPr>
        <w:pStyle w:val="ListParagraph"/>
        <w:numPr>
          <w:ilvl w:val="0"/>
          <w:numId w:val="23"/>
        </w:numPr>
        <w:spacing w:after="120" w:line="240" w:lineRule="auto"/>
        <w:rPr>
          <w:rFonts w:ascii="Helvetica" w:hAnsi="Helvetica" w:cs="Arial"/>
          <w:bCs/>
          <w:sz w:val="20"/>
          <w:szCs w:val="20"/>
        </w:rPr>
      </w:pPr>
      <w:r w:rsidRPr="00C77F4E">
        <w:rPr>
          <w:rFonts w:ascii="Helvetica" w:hAnsi="Helvetica" w:cs="Arial"/>
          <w:bCs/>
          <w:sz w:val="20"/>
          <w:szCs w:val="20"/>
        </w:rPr>
        <w:t>Investment in technology for visit management (initiated in 2010).</w:t>
      </w:r>
    </w:p>
    <w:p w14:paraId="7A34BF2A" w14:textId="77777777" w:rsidR="00C77F4E" w:rsidRPr="00C77F4E" w:rsidRDefault="00C77F4E" w:rsidP="009F36C5">
      <w:pPr>
        <w:pStyle w:val="ListParagraph"/>
        <w:numPr>
          <w:ilvl w:val="0"/>
          <w:numId w:val="23"/>
        </w:numPr>
        <w:spacing w:after="120" w:line="240" w:lineRule="auto"/>
        <w:rPr>
          <w:rFonts w:ascii="Helvetica" w:hAnsi="Helvetica" w:cs="Arial"/>
          <w:bCs/>
          <w:sz w:val="20"/>
          <w:szCs w:val="20"/>
        </w:rPr>
      </w:pPr>
      <w:r w:rsidRPr="00C77F4E">
        <w:rPr>
          <w:rFonts w:ascii="Helvetica" w:hAnsi="Helvetica" w:cs="Arial"/>
          <w:bCs/>
          <w:sz w:val="20"/>
          <w:szCs w:val="20"/>
        </w:rPr>
        <w:t>The Assessment and Evaluation Committee (established in 2009).</w:t>
      </w:r>
    </w:p>
    <w:p w14:paraId="5496B128" w14:textId="77777777" w:rsidR="00C77F4E" w:rsidRPr="00C77F4E" w:rsidRDefault="00C77F4E" w:rsidP="009F36C5">
      <w:pPr>
        <w:pStyle w:val="ListParagraph"/>
        <w:numPr>
          <w:ilvl w:val="1"/>
          <w:numId w:val="23"/>
        </w:numPr>
        <w:spacing w:after="120" w:line="240" w:lineRule="auto"/>
        <w:rPr>
          <w:rFonts w:ascii="Helvetica" w:hAnsi="Helvetica" w:cs="Arial"/>
          <w:bCs/>
          <w:sz w:val="20"/>
          <w:szCs w:val="20"/>
        </w:rPr>
      </w:pPr>
      <w:r w:rsidRPr="00C77F4E">
        <w:rPr>
          <w:rFonts w:ascii="Helvetica" w:hAnsi="Helvetica" w:cs="Arial"/>
          <w:bCs/>
          <w:sz w:val="20"/>
          <w:szCs w:val="20"/>
        </w:rPr>
        <w:t>Internal evaluation (visit practices, board self-evaluation).</w:t>
      </w:r>
    </w:p>
    <w:p w14:paraId="341731F6" w14:textId="77777777" w:rsidR="00C77F4E" w:rsidRPr="00C77F4E" w:rsidRDefault="00C77F4E" w:rsidP="009F36C5">
      <w:pPr>
        <w:pStyle w:val="ListParagraph"/>
        <w:numPr>
          <w:ilvl w:val="1"/>
          <w:numId w:val="23"/>
        </w:numPr>
        <w:spacing w:after="120" w:line="240" w:lineRule="auto"/>
        <w:rPr>
          <w:rFonts w:ascii="Helvetica" w:hAnsi="Helvetica" w:cs="Arial"/>
          <w:bCs/>
          <w:sz w:val="20"/>
          <w:szCs w:val="20"/>
        </w:rPr>
      </w:pPr>
      <w:r w:rsidRPr="00C77F4E">
        <w:rPr>
          <w:rFonts w:ascii="Helvetica" w:hAnsi="Helvetica" w:cs="Arial"/>
          <w:bCs/>
          <w:sz w:val="20"/>
          <w:szCs w:val="20"/>
        </w:rPr>
        <w:t>ARC13 preparation</w:t>
      </w:r>
    </w:p>
    <w:p w14:paraId="78E46974" w14:textId="77777777" w:rsidR="00C77F4E" w:rsidRPr="00C77F4E" w:rsidRDefault="00C77F4E" w:rsidP="009F36C5">
      <w:pPr>
        <w:pStyle w:val="ListParagraph"/>
        <w:numPr>
          <w:ilvl w:val="2"/>
          <w:numId w:val="23"/>
        </w:numPr>
        <w:spacing w:after="120" w:line="240" w:lineRule="auto"/>
        <w:rPr>
          <w:rFonts w:ascii="Helvetica" w:hAnsi="Helvetica" w:cs="Arial"/>
          <w:bCs/>
          <w:sz w:val="20"/>
          <w:szCs w:val="20"/>
        </w:rPr>
      </w:pPr>
      <w:r w:rsidRPr="00C77F4E">
        <w:rPr>
          <w:rFonts w:ascii="Helvetica" w:hAnsi="Helvetica" w:cs="Arial"/>
          <w:bCs/>
          <w:sz w:val="20"/>
          <w:szCs w:val="20"/>
        </w:rPr>
        <w:t>NAAB Study of Accredited Architectural Education</w:t>
      </w:r>
    </w:p>
    <w:p w14:paraId="6DAE8518" w14:textId="77777777" w:rsidR="00C77F4E" w:rsidRPr="00C77F4E" w:rsidRDefault="00C77F4E" w:rsidP="009F36C5">
      <w:pPr>
        <w:pStyle w:val="ListParagraph"/>
        <w:numPr>
          <w:ilvl w:val="2"/>
          <w:numId w:val="23"/>
        </w:numPr>
        <w:spacing w:after="120" w:line="240" w:lineRule="auto"/>
        <w:rPr>
          <w:rFonts w:ascii="Helvetica" w:hAnsi="Helvetica" w:cs="Arial"/>
          <w:bCs/>
          <w:sz w:val="20"/>
          <w:szCs w:val="20"/>
        </w:rPr>
      </w:pPr>
      <w:r w:rsidRPr="00C77F4E">
        <w:rPr>
          <w:rFonts w:ascii="Helvetica" w:hAnsi="Helvetica" w:cs="Arial"/>
          <w:bCs/>
          <w:sz w:val="20"/>
          <w:szCs w:val="20"/>
        </w:rPr>
        <w:t>NAAB-commissioned studies</w:t>
      </w:r>
    </w:p>
    <w:p w14:paraId="5B34D098" w14:textId="77777777" w:rsidR="00C77F4E" w:rsidRPr="00C77F4E" w:rsidRDefault="00C77F4E" w:rsidP="009F36C5">
      <w:pPr>
        <w:pStyle w:val="ListParagraph"/>
        <w:numPr>
          <w:ilvl w:val="2"/>
          <w:numId w:val="23"/>
        </w:numPr>
        <w:spacing w:after="120" w:line="240" w:lineRule="auto"/>
        <w:rPr>
          <w:rFonts w:ascii="Helvetica" w:hAnsi="Helvetica" w:cs="Arial"/>
          <w:bCs/>
          <w:sz w:val="20"/>
          <w:szCs w:val="20"/>
        </w:rPr>
      </w:pPr>
      <w:r w:rsidRPr="00C77F4E">
        <w:rPr>
          <w:rFonts w:ascii="Helvetica" w:hAnsi="Helvetica" w:cs="Arial"/>
          <w:bCs/>
          <w:sz w:val="20"/>
          <w:szCs w:val="20"/>
        </w:rPr>
        <w:t>NAAB director reviews</w:t>
      </w:r>
    </w:p>
    <w:p w14:paraId="14334032" w14:textId="77777777" w:rsidR="00C77F4E" w:rsidRPr="00C77F4E" w:rsidRDefault="00C77F4E" w:rsidP="009F36C5">
      <w:pPr>
        <w:pStyle w:val="ListParagraph"/>
        <w:numPr>
          <w:ilvl w:val="1"/>
          <w:numId w:val="23"/>
        </w:numPr>
        <w:spacing w:after="120" w:line="240" w:lineRule="auto"/>
        <w:rPr>
          <w:rFonts w:ascii="Helvetica" w:hAnsi="Helvetica" w:cs="Arial"/>
          <w:bCs/>
          <w:sz w:val="20"/>
          <w:szCs w:val="20"/>
        </w:rPr>
      </w:pPr>
      <w:r w:rsidRPr="00C77F4E">
        <w:rPr>
          <w:rFonts w:ascii="Helvetica" w:hAnsi="Helvetica" w:cs="Arial"/>
          <w:bCs/>
          <w:sz w:val="20"/>
          <w:szCs w:val="20"/>
        </w:rPr>
        <w:t>External evaluation of NAAB processes (Canberra Accord).</w:t>
      </w:r>
    </w:p>
    <w:p w14:paraId="0D328400" w14:textId="77777777" w:rsidR="00C77F4E" w:rsidRPr="00C77F4E" w:rsidRDefault="00C77F4E" w:rsidP="00C77F4E">
      <w:pPr>
        <w:pStyle w:val="Heading1"/>
        <w:rPr>
          <w:rFonts w:ascii="Helvetica" w:hAnsi="Helvetica" w:cs="Arial"/>
          <w:b w:val="0"/>
          <w:color w:val="auto"/>
          <w:sz w:val="20"/>
          <w:szCs w:val="20"/>
        </w:rPr>
      </w:pPr>
      <w:bookmarkStart w:id="56" w:name="_Toc379890891"/>
      <w:bookmarkStart w:id="57" w:name="_Toc395273613"/>
      <w:bookmarkStart w:id="58" w:name="_Toc395274028"/>
      <w:bookmarkStart w:id="59" w:name="_Toc462758543"/>
      <w:r w:rsidRPr="00C77F4E">
        <w:rPr>
          <w:rFonts w:ascii="Helvetica" w:hAnsi="Helvetica" w:cs="Arial"/>
          <w:color w:val="auto"/>
          <w:sz w:val="20"/>
          <w:szCs w:val="20"/>
        </w:rPr>
        <w:t>2010–2013: A Process for Preparing</w:t>
      </w:r>
      <w:bookmarkEnd w:id="56"/>
      <w:bookmarkEnd w:id="57"/>
      <w:bookmarkEnd w:id="58"/>
      <w:bookmarkEnd w:id="59"/>
    </w:p>
    <w:p w14:paraId="65FEB290" w14:textId="77777777" w:rsidR="00C77F4E" w:rsidRPr="00C77F4E" w:rsidRDefault="00C77F4E" w:rsidP="00C77F4E">
      <w:pPr>
        <w:spacing w:after="120" w:line="240" w:lineRule="auto"/>
        <w:rPr>
          <w:rFonts w:ascii="Helvetica" w:hAnsi="Helvetica" w:cs="Arial"/>
          <w:sz w:val="20"/>
          <w:szCs w:val="20"/>
        </w:rPr>
      </w:pPr>
      <w:r w:rsidRPr="00C77F4E">
        <w:rPr>
          <w:rFonts w:ascii="Helvetica" w:hAnsi="Helvetica" w:cs="Arial"/>
          <w:sz w:val="20"/>
          <w:szCs w:val="20"/>
        </w:rPr>
        <w:t>Beginning in 2010, the NAAB’s Assessment and Evaluation (A&amp;E) Committee focused on preparation for ARC13. In addition to setting the timeline for preparation, the committee also oversaw the completion of the</w:t>
      </w:r>
      <w:r w:rsidRPr="00C77F4E">
        <w:rPr>
          <w:rFonts w:ascii="Helvetica" w:hAnsi="Helvetica" w:cs="Arial"/>
          <w:i/>
          <w:sz w:val="20"/>
          <w:szCs w:val="20"/>
        </w:rPr>
        <w:t xml:space="preserve"> NAAB Study of Accredited Architectural Education</w:t>
      </w:r>
      <w:r w:rsidRPr="00C77F4E">
        <w:rPr>
          <w:rFonts w:ascii="Helvetica" w:hAnsi="Helvetica" w:cs="Arial"/>
          <w:sz w:val="20"/>
          <w:szCs w:val="20"/>
        </w:rPr>
        <w:t>. This study represented one of the first NAAB-directed efforts to prepare a baseline of information and analysis for ARC13. The purpose of the study was to set a foundation against which the NAAB could evaluate the proposals and recommendations of other organizations and individuals.</w:t>
      </w:r>
    </w:p>
    <w:p w14:paraId="771531D9" w14:textId="77777777" w:rsidR="00C77F4E" w:rsidRPr="00C77F4E" w:rsidRDefault="00C77F4E" w:rsidP="00C77F4E">
      <w:pPr>
        <w:pStyle w:val="NoSpacing"/>
        <w:spacing w:after="120"/>
        <w:rPr>
          <w:rFonts w:ascii="Helvetica" w:hAnsi="Helvetica" w:cs="Arial"/>
          <w:sz w:val="20"/>
          <w:szCs w:val="20"/>
        </w:rPr>
      </w:pPr>
      <w:r w:rsidRPr="00C77F4E">
        <w:rPr>
          <w:rFonts w:ascii="Helvetica" w:hAnsi="Helvetica" w:cs="Arial"/>
          <w:sz w:val="20"/>
          <w:szCs w:val="20"/>
        </w:rPr>
        <w:t>The NAAB retained McKinley Advisors to conduct the study and to complete the final report. McKinley is a DC-based consulting firm specializing in research, consulting, and outsourced services for associations and other nonprofits.</w:t>
      </w:r>
    </w:p>
    <w:p w14:paraId="0326557C" w14:textId="77777777" w:rsidR="00C77F4E" w:rsidRPr="00C77F4E" w:rsidRDefault="00C77F4E" w:rsidP="00C77F4E">
      <w:pPr>
        <w:spacing w:after="120" w:line="240" w:lineRule="auto"/>
        <w:rPr>
          <w:rFonts w:ascii="Helvetica" w:hAnsi="Helvetica" w:cs="Arial"/>
          <w:color w:val="000000"/>
          <w:sz w:val="20"/>
          <w:szCs w:val="20"/>
        </w:rPr>
      </w:pPr>
      <w:r w:rsidRPr="00C77F4E">
        <w:rPr>
          <w:rFonts w:ascii="Helvetica" w:hAnsi="Helvetica" w:cs="Arial"/>
          <w:color w:val="000000"/>
          <w:sz w:val="20"/>
          <w:szCs w:val="20"/>
        </w:rPr>
        <w:t xml:space="preserve">The study began in August 2010 with interviews of the NAAB directors. The second stage of research consisted of eight focus groups conducted at various meetings of the collateral organizations during late 2010 and early 2011. </w:t>
      </w:r>
    </w:p>
    <w:p w14:paraId="70AA2F11" w14:textId="77777777" w:rsidR="00C77F4E" w:rsidRPr="00C77F4E" w:rsidRDefault="00C77F4E" w:rsidP="00C77F4E">
      <w:pPr>
        <w:spacing w:after="120" w:line="240" w:lineRule="auto"/>
        <w:rPr>
          <w:rFonts w:ascii="Helvetica" w:hAnsi="Helvetica" w:cs="Arial"/>
          <w:color w:val="000000"/>
          <w:sz w:val="20"/>
          <w:szCs w:val="20"/>
        </w:rPr>
      </w:pPr>
      <w:r w:rsidRPr="00C77F4E">
        <w:rPr>
          <w:rFonts w:ascii="Helvetica" w:hAnsi="Helvetica" w:cs="Arial"/>
          <w:color w:val="000000"/>
          <w:sz w:val="20"/>
          <w:szCs w:val="20"/>
        </w:rPr>
        <w:t xml:space="preserve">The final stage consisted of an electronic survey designed to capture feedback on the changing field of architecture, the future of accredited architecture education, and the impact of past changes to the NAAB </w:t>
      </w:r>
      <w:r w:rsidRPr="00C77F4E">
        <w:rPr>
          <w:rFonts w:ascii="Helvetica" w:hAnsi="Helvetica" w:cs="Arial"/>
          <w:i/>
          <w:color w:val="000000"/>
          <w:sz w:val="20"/>
          <w:szCs w:val="20"/>
        </w:rPr>
        <w:t>Conditions for Accreditation</w:t>
      </w:r>
      <w:r w:rsidRPr="00C77F4E">
        <w:rPr>
          <w:rFonts w:ascii="Helvetica" w:hAnsi="Helvetica" w:cs="Arial"/>
          <w:color w:val="000000"/>
          <w:sz w:val="20"/>
          <w:szCs w:val="20"/>
        </w:rPr>
        <w:t xml:space="preserve"> on architecture education. The survey was developed based on the findings collected during the prior stages; it combined quantitative questions with open-ended, essay-style queries to provide a comprehensive look at architecture education.</w:t>
      </w:r>
    </w:p>
    <w:p w14:paraId="4BDC81C9" w14:textId="77777777" w:rsidR="00C77F4E" w:rsidRPr="00C77F4E" w:rsidRDefault="00C77F4E" w:rsidP="00C77F4E">
      <w:pPr>
        <w:spacing w:after="120" w:line="240" w:lineRule="auto"/>
        <w:rPr>
          <w:rFonts w:ascii="Helvetica" w:hAnsi="Helvetica" w:cs="Arial"/>
          <w:color w:val="000000"/>
          <w:sz w:val="20"/>
          <w:szCs w:val="20"/>
        </w:rPr>
      </w:pPr>
      <w:r w:rsidRPr="00C77F4E">
        <w:rPr>
          <w:rFonts w:ascii="Helvetica" w:hAnsi="Helvetica" w:cs="Arial"/>
          <w:color w:val="000000"/>
          <w:sz w:val="20"/>
          <w:szCs w:val="20"/>
        </w:rPr>
        <w:t xml:space="preserve">The final report was released on May 1, 2012, and can be downloaded from </w:t>
      </w:r>
      <w:hyperlink r:id="rId16" w:history="1">
        <w:r w:rsidRPr="00C77F4E">
          <w:rPr>
            <w:rStyle w:val="Hyperlink"/>
            <w:rFonts w:ascii="Helvetica" w:hAnsi="Helvetica" w:cs="Arial"/>
            <w:sz w:val="20"/>
            <w:szCs w:val="20"/>
          </w:rPr>
          <w:t>www.naab.org</w:t>
        </w:r>
      </w:hyperlink>
      <w:r w:rsidRPr="00C77F4E">
        <w:rPr>
          <w:rFonts w:ascii="Helvetica" w:hAnsi="Helvetica" w:cs="Arial"/>
          <w:color w:val="000000"/>
          <w:sz w:val="20"/>
          <w:szCs w:val="20"/>
        </w:rPr>
        <w:t>.</w:t>
      </w:r>
    </w:p>
    <w:p w14:paraId="656BC812" w14:textId="77777777" w:rsidR="00C77F4E" w:rsidRPr="00C77F4E" w:rsidRDefault="00C77F4E" w:rsidP="00C77F4E">
      <w:pPr>
        <w:pStyle w:val="Default"/>
        <w:spacing w:after="120"/>
        <w:rPr>
          <w:rFonts w:ascii="Helvetica" w:hAnsi="Helvetica"/>
          <w:color w:val="auto"/>
          <w:sz w:val="20"/>
          <w:szCs w:val="20"/>
        </w:rPr>
      </w:pPr>
      <w:r w:rsidRPr="00C77F4E">
        <w:rPr>
          <w:rFonts w:ascii="Helvetica" w:hAnsi="Helvetica"/>
          <w:color w:val="auto"/>
          <w:sz w:val="20"/>
          <w:szCs w:val="20"/>
        </w:rPr>
        <w:t>The A&amp;E Committee also identified additional areas of study:</w:t>
      </w:r>
    </w:p>
    <w:p w14:paraId="72E74263" w14:textId="77777777" w:rsidR="00C77F4E" w:rsidRPr="00C77F4E" w:rsidRDefault="00C77F4E" w:rsidP="009F36C5">
      <w:pPr>
        <w:pStyle w:val="Default"/>
        <w:widowControl w:val="0"/>
        <w:numPr>
          <w:ilvl w:val="0"/>
          <w:numId w:val="27"/>
        </w:numPr>
        <w:spacing w:after="120"/>
        <w:rPr>
          <w:rFonts w:ascii="Helvetica" w:hAnsi="Helvetica"/>
          <w:color w:val="auto"/>
          <w:sz w:val="20"/>
          <w:szCs w:val="20"/>
        </w:rPr>
      </w:pPr>
      <w:r w:rsidRPr="00C77F4E">
        <w:rPr>
          <w:rFonts w:ascii="Helvetica" w:hAnsi="Helvetica"/>
          <w:color w:val="auto"/>
          <w:sz w:val="20"/>
          <w:szCs w:val="20"/>
        </w:rPr>
        <w:t>Analyzing data collected in the NAAB’s ARS to identify trends in enrollment, graduation rates, finances, and faculty.</w:t>
      </w:r>
    </w:p>
    <w:p w14:paraId="2CEAC6BA" w14:textId="77777777" w:rsidR="00C77F4E" w:rsidRPr="00C77F4E" w:rsidRDefault="00C77F4E" w:rsidP="009F36C5">
      <w:pPr>
        <w:pStyle w:val="Default"/>
        <w:widowControl w:val="0"/>
        <w:numPr>
          <w:ilvl w:val="0"/>
          <w:numId w:val="27"/>
        </w:numPr>
        <w:spacing w:after="120"/>
        <w:rPr>
          <w:rFonts w:ascii="Helvetica" w:hAnsi="Helvetica"/>
          <w:color w:val="auto"/>
          <w:sz w:val="20"/>
          <w:szCs w:val="20"/>
        </w:rPr>
      </w:pPr>
      <w:r w:rsidRPr="00C77F4E">
        <w:rPr>
          <w:rFonts w:ascii="Helvetica" w:hAnsi="Helvetica"/>
          <w:color w:val="auto"/>
          <w:sz w:val="20"/>
          <w:szCs w:val="20"/>
        </w:rPr>
        <w:t xml:space="preserve">Analyzing the following trends in higher education: funding models, collaboration with community colleges, online education, student learning assessment, and changes in faculty work life. </w:t>
      </w:r>
    </w:p>
    <w:p w14:paraId="45D6A3AA" w14:textId="77777777" w:rsidR="00C77F4E" w:rsidRPr="00C77F4E" w:rsidRDefault="00C77F4E" w:rsidP="009F36C5">
      <w:pPr>
        <w:pStyle w:val="Default"/>
        <w:widowControl w:val="0"/>
        <w:numPr>
          <w:ilvl w:val="0"/>
          <w:numId w:val="27"/>
        </w:numPr>
        <w:spacing w:after="120"/>
        <w:rPr>
          <w:rFonts w:ascii="Helvetica" w:hAnsi="Helvetica"/>
          <w:color w:val="auto"/>
          <w:sz w:val="20"/>
          <w:szCs w:val="20"/>
        </w:rPr>
      </w:pPr>
      <w:r w:rsidRPr="00C77F4E">
        <w:rPr>
          <w:rFonts w:ascii="Helvetica" w:hAnsi="Helvetica"/>
          <w:color w:val="auto"/>
          <w:sz w:val="20"/>
          <w:szCs w:val="20"/>
        </w:rPr>
        <w:t>Considering the implications for the use of co-curricular activity to meet certain SPC.</w:t>
      </w:r>
    </w:p>
    <w:p w14:paraId="56517F48" w14:textId="77777777" w:rsidR="00C77F4E" w:rsidRPr="00C77F4E" w:rsidRDefault="00C77F4E" w:rsidP="009F36C5">
      <w:pPr>
        <w:pStyle w:val="Default"/>
        <w:widowControl w:val="0"/>
        <w:numPr>
          <w:ilvl w:val="0"/>
          <w:numId w:val="27"/>
        </w:numPr>
        <w:spacing w:after="120"/>
        <w:rPr>
          <w:rFonts w:ascii="Helvetica" w:hAnsi="Helvetica"/>
          <w:color w:val="auto"/>
          <w:sz w:val="20"/>
          <w:szCs w:val="20"/>
        </w:rPr>
      </w:pPr>
      <w:r w:rsidRPr="00C77F4E">
        <w:rPr>
          <w:rFonts w:ascii="Helvetica" w:hAnsi="Helvetica"/>
          <w:color w:val="auto"/>
          <w:sz w:val="20"/>
          <w:szCs w:val="20"/>
        </w:rPr>
        <w:t>Reviewing the objectives for the SPC for comprehensive design.</w:t>
      </w:r>
    </w:p>
    <w:p w14:paraId="0F8CD4C9" w14:textId="77777777" w:rsidR="00C77F4E" w:rsidRPr="00C77F4E" w:rsidRDefault="00C77F4E" w:rsidP="009F36C5">
      <w:pPr>
        <w:pStyle w:val="ListParagraph"/>
        <w:numPr>
          <w:ilvl w:val="0"/>
          <w:numId w:val="27"/>
        </w:numPr>
        <w:autoSpaceDE w:val="0"/>
        <w:autoSpaceDN w:val="0"/>
        <w:adjustRightInd w:val="0"/>
        <w:spacing w:after="120" w:line="240" w:lineRule="auto"/>
        <w:rPr>
          <w:rFonts w:ascii="Helvetica" w:hAnsi="Helvetica" w:cs="Arial"/>
          <w:color w:val="000000"/>
          <w:sz w:val="20"/>
          <w:szCs w:val="20"/>
        </w:rPr>
      </w:pPr>
      <w:r w:rsidRPr="00C77F4E">
        <w:rPr>
          <w:rFonts w:ascii="Helvetica" w:hAnsi="Helvetica" w:cs="Arial"/>
          <w:color w:val="000000"/>
          <w:sz w:val="20"/>
          <w:szCs w:val="20"/>
        </w:rPr>
        <w:t>Considering the effect of changes in access to higher education on demographic diversity in architecture programs.</w:t>
      </w:r>
    </w:p>
    <w:p w14:paraId="28CBDE84" w14:textId="77777777" w:rsidR="00C77F4E" w:rsidRPr="00C77F4E" w:rsidRDefault="00C77F4E" w:rsidP="009F36C5">
      <w:pPr>
        <w:pStyle w:val="ListParagraph"/>
        <w:numPr>
          <w:ilvl w:val="0"/>
          <w:numId w:val="27"/>
        </w:numPr>
        <w:autoSpaceDE w:val="0"/>
        <w:autoSpaceDN w:val="0"/>
        <w:adjustRightInd w:val="0"/>
        <w:spacing w:after="120" w:line="240" w:lineRule="auto"/>
        <w:rPr>
          <w:rFonts w:ascii="Helvetica" w:hAnsi="Helvetica" w:cs="Arial"/>
          <w:color w:val="000000"/>
          <w:sz w:val="20"/>
          <w:szCs w:val="20"/>
        </w:rPr>
      </w:pPr>
      <w:r w:rsidRPr="00C77F4E">
        <w:rPr>
          <w:rFonts w:ascii="Helvetica" w:hAnsi="Helvetica" w:cs="Arial"/>
          <w:color w:val="000000"/>
          <w:sz w:val="20"/>
          <w:szCs w:val="20"/>
        </w:rPr>
        <w:t>Studying how other specialized accrediting agencies or organizations in higher education define and assess collaboration.</w:t>
      </w:r>
    </w:p>
    <w:p w14:paraId="302429F9" w14:textId="77777777" w:rsidR="00C77F4E" w:rsidRPr="00C77F4E" w:rsidRDefault="00C77F4E" w:rsidP="00C77F4E">
      <w:pPr>
        <w:autoSpaceDE w:val="0"/>
        <w:autoSpaceDN w:val="0"/>
        <w:adjustRightInd w:val="0"/>
        <w:spacing w:after="120" w:line="240" w:lineRule="auto"/>
        <w:rPr>
          <w:rFonts w:ascii="Helvetica" w:hAnsi="Helvetica" w:cs="Arial"/>
          <w:color w:val="000000"/>
          <w:sz w:val="20"/>
          <w:szCs w:val="20"/>
        </w:rPr>
      </w:pPr>
      <w:r w:rsidRPr="00C77F4E">
        <w:rPr>
          <w:rFonts w:ascii="Helvetica" w:hAnsi="Helvetica" w:cs="Arial"/>
          <w:color w:val="000000"/>
          <w:sz w:val="20"/>
          <w:szCs w:val="20"/>
        </w:rPr>
        <w:t>Concurrent with the NAAB’s effort, the American Institute of Architects (AIA), the National Council of Architectural Registration Boards (NCARB), the Association of Collegiate Schools of Architecture (ACSA), and the American Institute of Architecture Students (AIAS) began their own efforts to analyze the issues and to prepare white papers in advance of the conference. All materials: white papers, letters, proposals, and recommendations from all sources were due to the NAAB on January 31, 2013.</w:t>
      </w:r>
    </w:p>
    <w:p w14:paraId="766AFBE3" w14:textId="77777777" w:rsidR="00C77F4E" w:rsidRPr="00C77F4E" w:rsidRDefault="00C77F4E" w:rsidP="00C77F4E">
      <w:pPr>
        <w:autoSpaceDE w:val="0"/>
        <w:autoSpaceDN w:val="0"/>
        <w:adjustRightInd w:val="0"/>
        <w:spacing w:after="120" w:line="240" w:lineRule="auto"/>
        <w:rPr>
          <w:rFonts w:ascii="Helvetica" w:hAnsi="Helvetica" w:cs="Arial"/>
          <w:color w:val="000000"/>
          <w:sz w:val="20"/>
          <w:szCs w:val="20"/>
        </w:rPr>
      </w:pPr>
      <w:r w:rsidRPr="00C77F4E">
        <w:rPr>
          <w:rFonts w:ascii="Helvetica" w:hAnsi="Helvetica" w:cs="Arial"/>
          <w:color w:val="000000"/>
          <w:sz w:val="20"/>
          <w:szCs w:val="20"/>
        </w:rPr>
        <w:t>On that date, the NAAB had amassed the largest collection of material ever assembled for an ARC.</w:t>
      </w:r>
    </w:p>
    <w:p w14:paraId="014E29C8" w14:textId="77777777" w:rsidR="00C77F4E" w:rsidRPr="00C77F4E" w:rsidRDefault="00C77F4E" w:rsidP="00C77F4E">
      <w:pPr>
        <w:autoSpaceDE w:val="0"/>
        <w:autoSpaceDN w:val="0"/>
        <w:adjustRightInd w:val="0"/>
        <w:spacing w:after="120" w:line="240" w:lineRule="auto"/>
        <w:rPr>
          <w:rFonts w:ascii="Helvetica" w:hAnsi="Helvetica"/>
          <w:sz w:val="20"/>
          <w:szCs w:val="20"/>
        </w:rPr>
      </w:pPr>
      <w:r w:rsidRPr="00C77F4E">
        <w:rPr>
          <w:rFonts w:ascii="Helvetica" w:hAnsi="Helvetica" w:cs="Arial"/>
          <w:color w:val="000000"/>
          <w:sz w:val="20"/>
          <w:szCs w:val="20"/>
        </w:rPr>
        <w:t>This material, along with the synthesis paper developed by the NAAB’s ARC13 Task Force and the conference agenda are avail</w:t>
      </w:r>
      <w:r w:rsidRPr="00C77F4E">
        <w:rPr>
          <w:rFonts w:ascii="Helvetica" w:hAnsi="Helvetica" w:cs="Arial"/>
          <w:sz w:val="20"/>
          <w:szCs w:val="20"/>
        </w:rPr>
        <w:t xml:space="preserve">able on the </w:t>
      </w:r>
      <w:hyperlink r:id="rId17" w:history="1">
        <w:r w:rsidRPr="00C77F4E">
          <w:rPr>
            <w:rStyle w:val="Hyperlink"/>
            <w:rFonts w:ascii="Helvetica" w:hAnsi="Helvetica" w:cs="Arial"/>
            <w:sz w:val="20"/>
            <w:szCs w:val="20"/>
          </w:rPr>
          <w:t>NAAB</w:t>
        </w:r>
      </w:hyperlink>
      <w:r w:rsidRPr="00C77F4E">
        <w:rPr>
          <w:rFonts w:ascii="Helvetica" w:hAnsi="Helvetica" w:cs="Arial"/>
          <w:sz w:val="20"/>
          <w:szCs w:val="20"/>
        </w:rPr>
        <w:t xml:space="preserve"> website</w:t>
      </w:r>
      <w:r w:rsidRPr="00C77F4E">
        <w:rPr>
          <w:rFonts w:ascii="Helvetica" w:hAnsi="Helvetica"/>
          <w:sz w:val="20"/>
          <w:szCs w:val="20"/>
        </w:rPr>
        <w:t>.</w:t>
      </w:r>
    </w:p>
    <w:p w14:paraId="2EA589F1" w14:textId="77777777" w:rsidR="00C77F4E" w:rsidRPr="00C77F4E" w:rsidRDefault="00C77F4E" w:rsidP="00C77F4E">
      <w:pPr>
        <w:pStyle w:val="ListParagraph"/>
        <w:spacing w:after="120" w:line="240" w:lineRule="auto"/>
        <w:ind w:left="0"/>
        <w:outlineLvl w:val="0"/>
        <w:rPr>
          <w:rFonts w:ascii="Helvetica" w:hAnsi="Helvetica" w:cs="Arial"/>
          <w:b/>
          <w:bCs/>
          <w:sz w:val="20"/>
          <w:szCs w:val="20"/>
        </w:rPr>
      </w:pPr>
      <w:bookmarkStart w:id="60" w:name="_Toc379890892"/>
      <w:bookmarkStart w:id="61" w:name="_Toc395273614"/>
      <w:bookmarkStart w:id="62" w:name="_Toc395274029"/>
      <w:bookmarkStart w:id="63" w:name="_Toc462758544"/>
      <w:r w:rsidRPr="00C77F4E">
        <w:rPr>
          <w:rFonts w:ascii="Helvetica" w:hAnsi="Helvetica" w:cs="Arial"/>
          <w:b/>
          <w:bCs/>
          <w:sz w:val="20"/>
          <w:szCs w:val="20"/>
        </w:rPr>
        <w:t>Analysis and Synthesis</w:t>
      </w:r>
      <w:bookmarkEnd w:id="60"/>
      <w:bookmarkEnd w:id="61"/>
      <w:bookmarkEnd w:id="62"/>
      <w:bookmarkEnd w:id="63"/>
    </w:p>
    <w:p w14:paraId="1FA9A371" w14:textId="77777777" w:rsidR="00C77F4E" w:rsidRPr="00C77F4E" w:rsidRDefault="00C77F4E" w:rsidP="00C77F4E">
      <w:pPr>
        <w:pStyle w:val="ListParagraph"/>
        <w:spacing w:after="120" w:line="240" w:lineRule="auto"/>
        <w:ind w:left="0"/>
        <w:rPr>
          <w:rFonts w:ascii="Helvetica" w:hAnsi="Helvetica" w:cs="Arial"/>
          <w:bCs/>
          <w:sz w:val="20"/>
          <w:szCs w:val="20"/>
        </w:rPr>
      </w:pPr>
      <w:r w:rsidRPr="00C77F4E">
        <w:rPr>
          <w:rFonts w:ascii="Helvetica" w:hAnsi="Helvetica" w:cs="Arial"/>
          <w:bCs/>
          <w:sz w:val="20"/>
          <w:szCs w:val="20"/>
        </w:rPr>
        <w:t xml:space="preserve">First and foremost, both the quantity and the quality of the submissions from collateral organizations, related professional organizations, and interested individuals far exceeded that of the materials submitted in 2008. The NAAB had a vastly broader and better researched library of proposals, commentary, and recommendations from which to work in preparation for ARC13 and subsequent development of the </w:t>
      </w:r>
      <w:r w:rsidRPr="00C77F4E">
        <w:rPr>
          <w:rFonts w:ascii="Helvetica" w:hAnsi="Helvetica" w:cs="Arial"/>
          <w:bCs/>
          <w:i/>
          <w:sz w:val="20"/>
          <w:szCs w:val="20"/>
        </w:rPr>
        <w:t>2014 Conditions</w:t>
      </w:r>
      <w:r w:rsidRPr="00C77F4E">
        <w:rPr>
          <w:rFonts w:ascii="Helvetica" w:hAnsi="Helvetica" w:cs="Arial"/>
          <w:bCs/>
          <w:sz w:val="20"/>
          <w:szCs w:val="20"/>
        </w:rPr>
        <w:t>.</w:t>
      </w:r>
    </w:p>
    <w:p w14:paraId="49EFF091" w14:textId="77777777" w:rsidR="00C77F4E" w:rsidRPr="00C77F4E" w:rsidRDefault="00C77F4E" w:rsidP="00C77F4E">
      <w:pPr>
        <w:pStyle w:val="ListParagraph"/>
        <w:spacing w:after="120" w:line="240" w:lineRule="auto"/>
        <w:ind w:left="0"/>
        <w:rPr>
          <w:rFonts w:ascii="Helvetica" w:hAnsi="Helvetica" w:cs="Arial"/>
          <w:bCs/>
          <w:sz w:val="20"/>
          <w:szCs w:val="20"/>
        </w:rPr>
      </w:pPr>
      <w:r w:rsidRPr="00C77F4E">
        <w:rPr>
          <w:rFonts w:ascii="Helvetica" w:hAnsi="Helvetica" w:cs="Arial"/>
          <w:bCs/>
          <w:sz w:val="20"/>
          <w:szCs w:val="20"/>
        </w:rPr>
        <w:t xml:space="preserve">Overall, with limited exceptions, the papers contributed for the 2013 conference affirmed that the 2008 model should stand as is. Nevertheless, the NAAB committed itself to approaching ARC13 and the development of the </w:t>
      </w:r>
      <w:r w:rsidRPr="00C77F4E">
        <w:rPr>
          <w:rFonts w:ascii="Helvetica" w:hAnsi="Helvetica" w:cs="Arial"/>
          <w:bCs/>
          <w:i/>
          <w:sz w:val="20"/>
          <w:szCs w:val="20"/>
        </w:rPr>
        <w:t>2014 Conditions</w:t>
      </w:r>
      <w:r w:rsidRPr="00C77F4E">
        <w:rPr>
          <w:rFonts w:ascii="Helvetica" w:hAnsi="Helvetica" w:cs="Arial"/>
          <w:bCs/>
          <w:sz w:val="20"/>
          <w:szCs w:val="20"/>
        </w:rPr>
        <w:t xml:space="preserve"> with the following in mind:</w:t>
      </w:r>
    </w:p>
    <w:p w14:paraId="14ECC9F3" w14:textId="77777777" w:rsidR="00C77F4E" w:rsidRPr="00C77F4E" w:rsidRDefault="00C77F4E" w:rsidP="009F36C5">
      <w:pPr>
        <w:pStyle w:val="ListParagraph"/>
        <w:numPr>
          <w:ilvl w:val="0"/>
          <w:numId w:val="26"/>
        </w:numPr>
        <w:spacing w:after="120" w:line="240" w:lineRule="auto"/>
        <w:rPr>
          <w:rFonts w:ascii="Helvetica" w:hAnsi="Helvetica" w:cs="Arial"/>
          <w:bCs/>
          <w:sz w:val="20"/>
          <w:szCs w:val="20"/>
        </w:rPr>
      </w:pPr>
      <w:r w:rsidRPr="00C77F4E">
        <w:rPr>
          <w:rFonts w:ascii="Helvetica" w:hAnsi="Helvetica" w:cs="Arial"/>
          <w:bCs/>
          <w:sz w:val="20"/>
          <w:szCs w:val="20"/>
        </w:rPr>
        <w:t xml:space="preserve">The NAAB would make its choices in the best interests of accreditation while keeping its vision, mission, and values in the forefront. The scope of the NAAB’s decision-making could not be constrained by real or imagined concerns over what constituted “too much or too little change.” </w:t>
      </w:r>
    </w:p>
    <w:p w14:paraId="5B0C3436" w14:textId="77777777" w:rsidR="00C77F4E" w:rsidRPr="00C77F4E" w:rsidRDefault="00C77F4E" w:rsidP="009F36C5">
      <w:pPr>
        <w:pStyle w:val="ListParagraph"/>
        <w:numPr>
          <w:ilvl w:val="0"/>
          <w:numId w:val="26"/>
        </w:numPr>
        <w:spacing w:after="120" w:line="240" w:lineRule="auto"/>
        <w:rPr>
          <w:rFonts w:ascii="Helvetica" w:hAnsi="Helvetica" w:cs="Arial"/>
          <w:bCs/>
          <w:sz w:val="20"/>
          <w:szCs w:val="20"/>
        </w:rPr>
      </w:pPr>
      <w:r w:rsidRPr="00C77F4E">
        <w:rPr>
          <w:rFonts w:ascii="Helvetica" w:hAnsi="Helvetica" w:cs="Arial"/>
          <w:bCs/>
          <w:sz w:val="20"/>
          <w:szCs w:val="20"/>
        </w:rPr>
        <w:t xml:space="preserve">As a global leader in accreditation in architecture education, </w:t>
      </w:r>
      <w:r w:rsidRPr="00C77F4E">
        <w:rPr>
          <w:rFonts w:ascii="Helvetica" w:hAnsi="Helvetica" w:cs="Arial"/>
          <w:sz w:val="20"/>
          <w:szCs w:val="20"/>
        </w:rPr>
        <w:t xml:space="preserve">it was incumbent upon the NAAB to be open to the understanding that others in the field both at home and abroad have alternative ideas about architecture education; the NAAB must embrace and engage new ideas rather than avoid them. </w:t>
      </w:r>
    </w:p>
    <w:p w14:paraId="7E3BD9A6" w14:textId="77777777" w:rsidR="00C77F4E" w:rsidRPr="00C77F4E" w:rsidRDefault="00C77F4E" w:rsidP="009F36C5">
      <w:pPr>
        <w:pStyle w:val="ListParagraph"/>
        <w:numPr>
          <w:ilvl w:val="0"/>
          <w:numId w:val="26"/>
        </w:numPr>
        <w:spacing w:after="120" w:line="240" w:lineRule="auto"/>
        <w:rPr>
          <w:rFonts w:ascii="Helvetica" w:hAnsi="Helvetica" w:cs="Arial"/>
          <w:bCs/>
          <w:sz w:val="20"/>
          <w:szCs w:val="20"/>
        </w:rPr>
      </w:pPr>
      <w:r w:rsidRPr="00C77F4E">
        <w:rPr>
          <w:rFonts w:ascii="Helvetica" w:hAnsi="Helvetica" w:cs="Arial"/>
          <w:bCs/>
          <w:sz w:val="20"/>
          <w:szCs w:val="20"/>
        </w:rPr>
        <w:t>The NAAB was willing to consider a review of the balance between institutional commitment to continuous improvement (Part I) and educational outcomes and curriculum (Part II) with a view toward shifting the time and attention of visiting teams toward Part II.</w:t>
      </w:r>
    </w:p>
    <w:p w14:paraId="5919B3EF" w14:textId="77777777" w:rsidR="00C77F4E" w:rsidRPr="00C77F4E" w:rsidRDefault="00C77F4E" w:rsidP="00C77F4E">
      <w:pPr>
        <w:pStyle w:val="ListParagraph"/>
        <w:spacing w:after="120" w:line="240" w:lineRule="auto"/>
        <w:ind w:left="0"/>
        <w:outlineLvl w:val="0"/>
        <w:rPr>
          <w:rFonts w:ascii="Helvetica" w:hAnsi="Helvetica" w:cs="Arial"/>
          <w:b/>
          <w:bCs/>
          <w:sz w:val="20"/>
          <w:szCs w:val="20"/>
        </w:rPr>
      </w:pPr>
      <w:bookmarkStart w:id="64" w:name="_Toc379890893"/>
      <w:bookmarkStart w:id="65" w:name="_Toc395273615"/>
      <w:bookmarkStart w:id="66" w:name="_Toc395274030"/>
      <w:bookmarkStart w:id="67" w:name="_Toc462758545"/>
      <w:r w:rsidRPr="00C77F4E">
        <w:rPr>
          <w:rFonts w:ascii="Helvetica" w:hAnsi="Helvetica" w:cs="Arial"/>
          <w:b/>
          <w:bCs/>
          <w:sz w:val="20"/>
          <w:szCs w:val="20"/>
        </w:rPr>
        <w:t xml:space="preserve">New/Emerging Issues </w:t>
      </w:r>
      <w:proofErr w:type="gramStart"/>
      <w:r w:rsidRPr="00C77F4E">
        <w:rPr>
          <w:rFonts w:ascii="Helvetica" w:hAnsi="Helvetica" w:cs="Arial"/>
          <w:b/>
          <w:bCs/>
          <w:sz w:val="20"/>
          <w:szCs w:val="20"/>
        </w:rPr>
        <w:t>That</w:t>
      </w:r>
      <w:proofErr w:type="gramEnd"/>
      <w:r w:rsidRPr="00C77F4E">
        <w:rPr>
          <w:rFonts w:ascii="Helvetica" w:hAnsi="Helvetica" w:cs="Arial"/>
          <w:b/>
          <w:bCs/>
          <w:sz w:val="20"/>
          <w:szCs w:val="20"/>
        </w:rPr>
        <w:t xml:space="preserve"> must be Addressed in The </w:t>
      </w:r>
      <w:r w:rsidRPr="00C77F4E">
        <w:rPr>
          <w:rFonts w:ascii="Helvetica" w:hAnsi="Helvetica" w:cs="Arial"/>
          <w:b/>
          <w:bCs/>
          <w:i/>
          <w:sz w:val="20"/>
          <w:szCs w:val="20"/>
        </w:rPr>
        <w:t>2014 Conditions</w:t>
      </w:r>
      <w:bookmarkEnd w:id="64"/>
      <w:bookmarkEnd w:id="65"/>
      <w:bookmarkEnd w:id="66"/>
      <w:bookmarkEnd w:id="67"/>
    </w:p>
    <w:p w14:paraId="4A18B0C4" w14:textId="77777777" w:rsidR="00C77F4E" w:rsidRPr="00C77F4E" w:rsidRDefault="00C77F4E" w:rsidP="00C77F4E">
      <w:pPr>
        <w:pStyle w:val="ListParagraph"/>
        <w:spacing w:after="120" w:line="240" w:lineRule="auto"/>
        <w:ind w:left="0"/>
        <w:outlineLvl w:val="0"/>
        <w:rPr>
          <w:rFonts w:ascii="Helvetica" w:hAnsi="Helvetica" w:cs="Arial"/>
          <w:bCs/>
          <w:sz w:val="20"/>
          <w:szCs w:val="20"/>
        </w:rPr>
      </w:pPr>
      <w:bookmarkStart w:id="68" w:name="_Toc379890894"/>
      <w:bookmarkStart w:id="69" w:name="_Toc395090311"/>
      <w:bookmarkStart w:id="70" w:name="_Toc395273616"/>
      <w:bookmarkStart w:id="71" w:name="_Toc395274031"/>
      <w:bookmarkStart w:id="72" w:name="_Toc462758546"/>
      <w:r w:rsidRPr="00C77F4E">
        <w:rPr>
          <w:rFonts w:ascii="Helvetica" w:hAnsi="Helvetica" w:cs="Arial"/>
          <w:bCs/>
          <w:sz w:val="20"/>
          <w:szCs w:val="20"/>
        </w:rPr>
        <w:t>Working from the materials submitted in January 2013, the task force identified a number of significant issues that were, in many instances, related to trends affecting postsecondary education in the U.S. While only tangentially relevant to the particulars of the NAAB’s system, understanding them and being responsive remained critical to the NAAB’s continued relevance within institutions and specialized accreditation.</w:t>
      </w:r>
      <w:bookmarkEnd w:id="68"/>
      <w:bookmarkEnd w:id="69"/>
      <w:bookmarkEnd w:id="70"/>
      <w:bookmarkEnd w:id="71"/>
      <w:bookmarkEnd w:id="72"/>
    </w:p>
    <w:p w14:paraId="304219FC" w14:textId="77777777" w:rsidR="00C77F4E" w:rsidRPr="00C77F4E" w:rsidRDefault="00C77F4E" w:rsidP="009F36C5">
      <w:pPr>
        <w:pStyle w:val="ListParagraph"/>
        <w:numPr>
          <w:ilvl w:val="0"/>
          <w:numId w:val="25"/>
        </w:numPr>
        <w:spacing w:after="120" w:line="240" w:lineRule="auto"/>
        <w:rPr>
          <w:rFonts w:ascii="Helvetica" w:hAnsi="Helvetica" w:cs="Arial"/>
          <w:bCs/>
          <w:sz w:val="20"/>
          <w:szCs w:val="20"/>
        </w:rPr>
      </w:pPr>
      <w:r w:rsidRPr="00C77F4E">
        <w:rPr>
          <w:rFonts w:ascii="Helvetica" w:hAnsi="Helvetica" w:cs="Arial"/>
          <w:bCs/>
          <w:sz w:val="20"/>
          <w:szCs w:val="20"/>
        </w:rPr>
        <w:t>Calls to increase the rigor of the accreditation process without increasing expense (time, people, space, and money).</w:t>
      </w:r>
    </w:p>
    <w:p w14:paraId="72EB96A9" w14:textId="77777777" w:rsidR="00C77F4E" w:rsidRPr="00C77F4E" w:rsidRDefault="00C77F4E" w:rsidP="009F36C5">
      <w:pPr>
        <w:pStyle w:val="ListParagraph"/>
        <w:numPr>
          <w:ilvl w:val="0"/>
          <w:numId w:val="25"/>
        </w:numPr>
        <w:spacing w:after="120" w:line="240" w:lineRule="auto"/>
        <w:rPr>
          <w:rFonts w:ascii="Helvetica" w:hAnsi="Helvetica" w:cs="Arial"/>
          <w:sz w:val="20"/>
          <w:szCs w:val="20"/>
        </w:rPr>
      </w:pPr>
      <w:r w:rsidRPr="00C77F4E">
        <w:rPr>
          <w:rFonts w:ascii="Helvetica" w:hAnsi="Helvetica" w:cs="Arial"/>
          <w:sz w:val="20"/>
          <w:szCs w:val="20"/>
        </w:rPr>
        <w:t xml:space="preserve">Understanding the implications of shifting demographics in education.  There is a large population of first-generation college students (e.g., non-English speakers), many of whom are differently-prepared for postsecondary education than their legacy classmates. With their gradual movement into postsecondary and higher education come related expectations within professional programs for teaching or developing basic skills. </w:t>
      </w:r>
    </w:p>
    <w:p w14:paraId="52FFC17D" w14:textId="77777777" w:rsidR="00C77F4E" w:rsidRPr="00C77F4E" w:rsidRDefault="00C77F4E" w:rsidP="009F36C5">
      <w:pPr>
        <w:pStyle w:val="ListParagraph"/>
        <w:numPr>
          <w:ilvl w:val="0"/>
          <w:numId w:val="25"/>
        </w:numPr>
        <w:spacing w:after="120" w:line="240" w:lineRule="auto"/>
        <w:rPr>
          <w:rFonts w:ascii="Helvetica" w:hAnsi="Helvetica" w:cs="Arial"/>
          <w:bCs/>
          <w:sz w:val="20"/>
          <w:szCs w:val="20"/>
        </w:rPr>
      </w:pPr>
      <w:r w:rsidRPr="00C77F4E">
        <w:rPr>
          <w:rFonts w:ascii="Helvetica" w:hAnsi="Helvetica" w:cs="Arial"/>
          <w:bCs/>
          <w:sz w:val="20"/>
          <w:szCs w:val="20"/>
        </w:rPr>
        <w:t>Looking at the role of community colleges in preparing students for preprofessional and professional education, particularly those individuals less-well-prepared for traditional college and university settings.</w:t>
      </w:r>
    </w:p>
    <w:p w14:paraId="38AEA80F" w14:textId="77777777" w:rsidR="00C77F4E" w:rsidRPr="00C77F4E" w:rsidRDefault="00C77F4E" w:rsidP="009F36C5">
      <w:pPr>
        <w:pStyle w:val="ListParagraph"/>
        <w:numPr>
          <w:ilvl w:val="0"/>
          <w:numId w:val="25"/>
        </w:numPr>
        <w:spacing w:after="120" w:line="240" w:lineRule="auto"/>
        <w:rPr>
          <w:rFonts w:ascii="Helvetica" w:hAnsi="Helvetica" w:cs="Arial"/>
          <w:bCs/>
          <w:sz w:val="20"/>
          <w:szCs w:val="20"/>
        </w:rPr>
      </w:pPr>
      <w:r w:rsidRPr="00C77F4E">
        <w:rPr>
          <w:rFonts w:ascii="Helvetica" w:hAnsi="Helvetica" w:cs="Arial"/>
          <w:bCs/>
          <w:sz w:val="20"/>
          <w:szCs w:val="20"/>
        </w:rPr>
        <w:t>Acknowledging the increasing use of online and distance learning delivery models, which in turn call for online and distance learning achievement/assessment models.</w:t>
      </w:r>
    </w:p>
    <w:p w14:paraId="1F722483" w14:textId="77777777" w:rsidR="00C77F4E" w:rsidRPr="00C77F4E" w:rsidRDefault="00C77F4E" w:rsidP="009F36C5">
      <w:pPr>
        <w:pStyle w:val="ListParagraph"/>
        <w:numPr>
          <w:ilvl w:val="0"/>
          <w:numId w:val="25"/>
        </w:numPr>
        <w:spacing w:after="120" w:line="240" w:lineRule="auto"/>
        <w:rPr>
          <w:rFonts w:ascii="Helvetica" w:hAnsi="Helvetica" w:cs="Arial"/>
          <w:bCs/>
          <w:sz w:val="20"/>
          <w:szCs w:val="20"/>
        </w:rPr>
      </w:pPr>
      <w:r w:rsidRPr="00C77F4E">
        <w:rPr>
          <w:rFonts w:ascii="Helvetica" w:hAnsi="Helvetica" w:cs="Arial"/>
          <w:bCs/>
          <w:sz w:val="20"/>
          <w:szCs w:val="20"/>
        </w:rPr>
        <w:t>Increasing calls for colleges and universities to demonstrate the civic engagement of students in professional degree programs.</w:t>
      </w:r>
    </w:p>
    <w:p w14:paraId="78EF7FFE" w14:textId="77777777" w:rsidR="00C77F4E" w:rsidRPr="00C77F4E" w:rsidRDefault="00C77F4E" w:rsidP="009F36C5">
      <w:pPr>
        <w:pStyle w:val="ListParagraph"/>
        <w:numPr>
          <w:ilvl w:val="0"/>
          <w:numId w:val="25"/>
        </w:numPr>
        <w:spacing w:after="120" w:line="240" w:lineRule="auto"/>
        <w:rPr>
          <w:rFonts w:ascii="Helvetica" w:hAnsi="Helvetica" w:cs="Arial"/>
          <w:bCs/>
          <w:sz w:val="20"/>
          <w:szCs w:val="20"/>
        </w:rPr>
      </w:pPr>
      <w:r w:rsidRPr="00C77F4E">
        <w:rPr>
          <w:rFonts w:ascii="Helvetica" w:hAnsi="Helvetica" w:cs="Arial"/>
          <w:bCs/>
          <w:sz w:val="20"/>
          <w:szCs w:val="20"/>
        </w:rPr>
        <w:t>The SPC must balance conventional and emerging visualization skills, while still using drawing and modelling as a method of learning and communication.</w:t>
      </w:r>
    </w:p>
    <w:p w14:paraId="170E1B47" w14:textId="77777777" w:rsidR="00C77F4E" w:rsidRPr="00C77F4E" w:rsidRDefault="00C77F4E" w:rsidP="009F36C5">
      <w:pPr>
        <w:pStyle w:val="ListParagraph"/>
        <w:numPr>
          <w:ilvl w:val="0"/>
          <w:numId w:val="25"/>
        </w:numPr>
        <w:spacing w:after="120" w:line="240" w:lineRule="auto"/>
        <w:rPr>
          <w:rFonts w:ascii="Helvetica" w:hAnsi="Helvetica" w:cs="Arial"/>
          <w:bCs/>
          <w:sz w:val="20"/>
          <w:szCs w:val="20"/>
        </w:rPr>
      </w:pPr>
      <w:r w:rsidRPr="00C77F4E">
        <w:rPr>
          <w:rFonts w:ascii="Helvetica" w:hAnsi="Helvetica" w:cs="Arial"/>
          <w:bCs/>
          <w:sz w:val="20"/>
          <w:szCs w:val="20"/>
        </w:rPr>
        <w:t>Calls to increase the quality of building sciences education (broadly-defined).</w:t>
      </w:r>
    </w:p>
    <w:p w14:paraId="13392AC4" w14:textId="77777777" w:rsidR="00C77F4E" w:rsidRPr="00C77F4E" w:rsidRDefault="00C77F4E" w:rsidP="009F36C5">
      <w:pPr>
        <w:pStyle w:val="ListParagraph"/>
        <w:numPr>
          <w:ilvl w:val="0"/>
          <w:numId w:val="25"/>
        </w:numPr>
        <w:spacing w:after="120" w:line="240" w:lineRule="auto"/>
        <w:rPr>
          <w:rFonts w:ascii="Helvetica" w:hAnsi="Helvetica" w:cs="Arial"/>
          <w:bCs/>
          <w:sz w:val="20"/>
          <w:szCs w:val="20"/>
        </w:rPr>
      </w:pPr>
      <w:r w:rsidRPr="00C77F4E">
        <w:rPr>
          <w:rFonts w:ascii="Helvetica" w:hAnsi="Helvetica" w:cs="Arial"/>
          <w:bCs/>
          <w:sz w:val="20"/>
          <w:szCs w:val="20"/>
        </w:rPr>
        <w:t>Defining student learning outcomes that go beyond general education and apply directly to professional competencies (e.g., communication skills, collaborative ability and, investigative skills).</w:t>
      </w:r>
    </w:p>
    <w:p w14:paraId="132A6EFB" w14:textId="77777777" w:rsidR="00C77F4E" w:rsidRPr="00C77F4E" w:rsidRDefault="00C77F4E" w:rsidP="009F36C5">
      <w:pPr>
        <w:pStyle w:val="ListParagraph"/>
        <w:numPr>
          <w:ilvl w:val="0"/>
          <w:numId w:val="25"/>
        </w:numPr>
        <w:spacing w:after="120" w:line="240" w:lineRule="auto"/>
        <w:rPr>
          <w:rFonts w:ascii="Helvetica" w:hAnsi="Helvetica" w:cs="Arial"/>
          <w:bCs/>
          <w:sz w:val="20"/>
          <w:szCs w:val="20"/>
        </w:rPr>
      </w:pPr>
      <w:r w:rsidRPr="00C77F4E">
        <w:rPr>
          <w:rFonts w:ascii="Helvetica" w:hAnsi="Helvetica" w:cs="Arial"/>
          <w:bCs/>
          <w:sz w:val="20"/>
          <w:szCs w:val="20"/>
        </w:rPr>
        <w:t>Calls from programs and team members to be explicit about the expectations for student achievement in comprehensive design.</w:t>
      </w:r>
    </w:p>
    <w:p w14:paraId="5DF05B7D" w14:textId="77777777" w:rsidR="00C77F4E" w:rsidRPr="00C77F4E" w:rsidRDefault="00C77F4E" w:rsidP="009F36C5">
      <w:pPr>
        <w:pStyle w:val="ListParagraph"/>
        <w:numPr>
          <w:ilvl w:val="0"/>
          <w:numId w:val="25"/>
        </w:numPr>
        <w:spacing w:after="120" w:line="240" w:lineRule="auto"/>
        <w:rPr>
          <w:rFonts w:ascii="Helvetica" w:hAnsi="Helvetica" w:cs="Arial"/>
          <w:bCs/>
          <w:sz w:val="20"/>
          <w:szCs w:val="20"/>
        </w:rPr>
      </w:pPr>
      <w:r w:rsidRPr="00C77F4E">
        <w:rPr>
          <w:rFonts w:ascii="Helvetica" w:hAnsi="Helvetica" w:cs="Arial"/>
          <w:bCs/>
          <w:sz w:val="20"/>
          <w:szCs w:val="20"/>
        </w:rPr>
        <w:t>Colleges and universities are being asked to provide more public information on student debt.</w:t>
      </w:r>
    </w:p>
    <w:p w14:paraId="68F2AF1D" w14:textId="77777777" w:rsidR="00C77F4E" w:rsidRPr="00C77F4E" w:rsidRDefault="00C77F4E" w:rsidP="00C77F4E">
      <w:pPr>
        <w:pStyle w:val="Heading2"/>
        <w:rPr>
          <w:rFonts w:ascii="Helvetica" w:hAnsi="Helvetica"/>
          <w:b w:val="0"/>
          <w:i w:val="0"/>
          <w:sz w:val="20"/>
          <w:szCs w:val="20"/>
        </w:rPr>
      </w:pPr>
      <w:bookmarkStart w:id="73" w:name="_Toc379890895"/>
      <w:bookmarkStart w:id="74" w:name="_Toc395274032"/>
      <w:bookmarkStart w:id="75" w:name="_Toc462758547"/>
      <w:r w:rsidRPr="00C77F4E">
        <w:rPr>
          <w:rFonts w:ascii="Helvetica" w:hAnsi="Helvetica"/>
          <w:i w:val="0"/>
          <w:sz w:val="20"/>
          <w:szCs w:val="20"/>
        </w:rPr>
        <w:t>The 2013 Accreditation Review Conference (ARC13)</w:t>
      </w:r>
      <w:bookmarkEnd w:id="73"/>
      <w:bookmarkEnd w:id="74"/>
      <w:bookmarkEnd w:id="75"/>
    </w:p>
    <w:p w14:paraId="4134CA2B" w14:textId="77777777" w:rsidR="00C77F4E" w:rsidRPr="00C77F4E" w:rsidRDefault="00C77F4E" w:rsidP="00C77F4E">
      <w:pPr>
        <w:pStyle w:val="Default"/>
        <w:spacing w:after="120"/>
        <w:ind w:left="43"/>
        <w:rPr>
          <w:rFonts w:ascii="Helvetica" w:hAnsi="Helvetica"/>
          <w:color w:val="auto"/>
          <w:sz w:val="20"/>
          <w:szCs w:val="20"/>
        </w:rPr>
      </w:pPr>
      <w:r w:rsidRPr="00C77F4E">
        <w:rPr>
          <w:rFonts w:ascii="Helvetica" w:hAnsi="Helvetica"/>
          <w:color w:val="auto"/>
          <w:sz w:val="20"/>
          <w:szCs w:val="20"/>
        </w:rPr>
        <w:t>The conference took place July 18-19, 2013, at the Snowbird Resort in Utah. It was by-invitation-only and was attended by delegations from the AIA, AIAS, ACSA, NCARB, the Canadian Architectural Certification Board-</w:t>
      </w:r>
      <w:proofErr w:type="spellStart"/>
      <w:r w:rsidRPr="00C77F4E">
        <w:rPr>
          <w:rFonts w:ascii="Helvetica" w:hAnsi="Helvetica"/>
          <w:bCs/>
          <w:i/>
          <w:sz w:val="20"/>
          <w:szCs w:val="20"/>
        </w:rPr>
        <w:t>Conseil</w:t>
      </w:r>
      <w:proofErr w:type="spellEnd"/>
      <w:r w:rsidRPr="00C77F4E">
        <w:rPr>
          <w:rFonts w:ascii="Helvetica" w:hAnsi="Helvetica"/>
          <w:bCs/>
          <w:i/>
          <w:sz w:val="20"/>
          <w:szCs w:val="20"/>
        </w:rPr>
        <w:t xml:space="preserve"> </w:t>
      </w:r>
      <w:proofErr w:type="spellStart"/>
      <w:r w:rsidRPr="00C77F4E">
        <w:rPr>
          <w:rFonts w:ascii="Helvetica" w:hAnsi="Helvetica"/>
          <w:bCs/>
          <w:i/>
          <w:sz w:val="20"/>
          <w:szCs w:val="20"/>
        </w:rPr>
        <w:t>canadien</w:t>
      </w:r>
      <w:proofErr w:type="spellEnd"/>
      <w:r w:rsidRPr="00C77F4E">
        <w:rPr>
          <w:rFonts w:ascii="Helvetica" w:hAnsi="Helvetica"/>
          <w:bCs/>
          <w:i/>
          <w:sz w:val="20"/>
          <w:szCs w:val="20"/>
        </w:rPr>
        <w:t xml:space="preserve"> de certification </w:t>
      </w:r>
      <w:proofErr w:type="spellStart"/>
      <w:r w:rsidRPr="00C77F4E">
        <w:rPr>
          <w:rFonts w:ascii="Helvetica" w:hAnsi="Helvetica"/>
          <w:bCs/>
          <w:i/>
          <w:sz w:val="20"/>
          <w:szCs w:val="20"/>
        </w:rPr>
        <w:t>en</w:t>
      </w:r>
      <w:proofErr w:type="spellEnd"/>
      <w:r w:rsidRPr="00C77F4E">
        <w:rPr>
          <w:rFonts w:ascii="Helvetica" w:hAnsi="Helvetica"/>
          <w:bCs/>
          <w:i/>
          <w:sz w:val="20"/>
          <w:szCs w:val="20"/>
        </w:rPr>
        <w:t xml:space="preserve"> architecture </w:t>
      </w:r>
      <w:r w:rsidRPr="00C77F4E">
        <w:rPr>
          <w:rFonts w:ascii="Helvetica" w:hAnsi="Helvetica"/>
          <w:color w:val="auto"/>
          <w:sz w:val="20"/>
          <w:szCs w:val="20"/>
        </w:rPr>
        <w:t>(CACB-CCCA), and the National Organization for Minority Architects, as well as the NAAB directors and directors-elect. In total, 44 people participated.</w:t>
      </w:r>
    </w:p>
    <w:p w14:paraId="213CBD46" w14:textId="77777777" w:rsidR="00C77F4E" w:rsidRPr="00C77F4E" w:rsidRDefault="00C77F4E" w:rsidP="00C77F4E">
      <w:pPr>
        <w:pStyle w:val="Default"/>
        <w:spacing w:after="120"/>
        <w:ind w:left="43"/>
        <w:rPr>
          <w:rFonts w:ascii="Helvetica" w:hAnsi="Helvetica"/>
          <w:color w:val="auto"/>
          <w:sz w:val="20"/>
          <w:szCs w:val="20"/>
        </w:rPr>
      </w:pPr>
      <w:r w:rsidRPr="00C77F4E">
        <w:rPr>
          <w:rFonts w:ascii="Helvetica" w:hAnsi="Helvetica"/>
          <w:color w:val="auto"/>
          <w:sz w:val="20"/>
          <w:szCs w:val="20"/>
        </w:rPr>
        <w:t>The agenda provided participants with multiple opportunities to interact with one another, to discuss and evaluate the SPC, to consider new forms of evidence of student achievement, and to consider procedural issues.</w:t>
      </w:r>
    </w:p>
    <w:p w14:paraId="3235DE41" w14:textId="77777777" w:rsidR="00C77F4E" w:rsidRPr="00C77F4E" w:rsidRDefault="00C77F4E" w:rsidP="00C77F4E">
      <w:pPr>
        <w:pStyle w:val="Default"/>
        <w:spacing w:after="120"/>
        <w:rPr>
          <w:rFonts w:ascii="Helvetica" w:hAnsi="Helvetica"/>
          <w:color w:val="auto"/>
          <w:sz w:val="20"/>
          <w:szCs w:val="20"/>
        </w:rPr>
      </w:pPr>
      <w:r w:rsidRPr="00C77F4E">
        <w:rPr>
          <w:rFonts w:ascii="Helvetica" w:hAnsi="Helvetica"/>
          <w:color w:val="auto"/>
          <w:sz w:val="20"/>
          <w:szCs w:val="20"/>
        </w:rPr>
        <w:t xml:space="preserve">ARC13 generated nearly 50 flip-chart-sized pages of notes and graphics and over 300 images. These materials were used by the writing team to support their early conclusions and proposed language. </w:t>
      </w:r>
    </w:p>
    <w:p w14:paraId="579C2373" w14:textId="77777777" w:rsidR="00C77F4E" w:rsidRPr="00C77F4E" w:rsidRDefault="00C77F4E" w:rsidP="00C77F4E">
      <w:pPr>
        <w:pStyle w:val="Default"/>
        <w:spacing w:after="120"/>
        <w:rPr>
          <w:rFonts w:ascii="Helvetica" w:hAnsi="Helvetica"/>
          <w:color w:val="auto"/>
          <w:sz w:val="20"/>
          <w:szCs w:val="20"/>
        </w:rPr>
      </w:pPr>
      <w:r w:rsidRPr="00C77F4E">
        <w:rPr>
          <w:rFonts w:ascii="Helvetica" w:hAnsi="Helvetica"/>
          <w:color w:val="auto"/>
          <w:sz w:val="20"/>
          <w:szCs w:val="20"/>
        </w:rPr>
        <w:t>As the NAAB directors considered the outcomes of ARC13 during their meeting, which immediately followed the conference, they reached the following conclusions:</w:t>
      </w:r>
    </w:p>
    <w:p w14:paraId="1C08E9B1" w14:textId="77777777" w:rsidR="00C77F4E" w:rsidRPr="00C77F4E" w:rsidRDefault="00C77F4E" w:rsidP="009F36C5">
      <w:pPr>
        <w:pStyle w:val="Default"/>
        <w:numPr>
          <w:ilvl w:val="0"/>
          <w:numId w:val="28"/>
        </w:numPr>
        <w:spacing w:after="120"/>
        <w:rPr>
          <w:rFonts w:ascii="Helvetica" w:hAnsi="Helvetica"/>
          <w:color w:val="auto"/>
          <w:sz w:val="20"/>
          <w:szCs w:val="20"/>
        </w:rPr>
      </w:pPr>
      <w:r w:rsidRPr="00C77F4E">
        <w:rPr>
          <w:rFonts w:ascii="Helvetica" w:hAnsi="Helvetica"/>
          <w:color w:val="auto"/>
          <w:sz w:val="20"/>
          <w:szCs w:val="20"/>
        </w:rPr>
        <w:t xml:space="preserve">The five perspectives (I.1.3.A-E) must be revised in order to </w:t>
      </w:r>
    </w:p>
    <w:p w14:paraId="1CF9E8E5" w14:textId="77777777" w:rsidR="00C77F4E" w:rsidRPr="00C77F4E" w:rsidRDefault="00C77F4E" w:rsidP="009F36C5">
      <w:pPr>
        <w:pStyle w:val="Default"/>
        <w:numPr>
          <w:ilvl w:val="1"/>
          <w:numId w:val="28"/>
        </w:numPr>
        <w:spacing w:after="120"/>
        <w:rPr>
          <w:rFonts w:ascii="Helvetica" w:hAnsi="Helvetica"/>
          <w:color w:val="auto"/>
          <w:sz w:val="20"/>
          <w:szCs w:val="20"/>
        </w:rPr>
      </w:pPr>
      <w:r w:rsidRPr="00C77F4E">
        <w:rPr>
          <w:rFonts w:ascii="Helvetica" w:hAnsi="Helvetica"/>
          <w:color w:val="auto"/>
          <w:sz w:val="20"/>
          <w:szCs w:val="20"/>
        </w:rPr>
        <w:t>Remove the language that binds the perspectives to one of the five organizations in architecture.</w:t>
      </w:r>
    </w:p>
    <w:p w14:paraId="3A685882" w14:textId="77777777" w:rsidR="00C77F4E" w:rsidRPr="00C77F4E" w:rsidRDefault="00C77F4E" w:rsidP="009F36C5">
      <w:pPr>
        <w:pStyle w:val="Default"/>
        <w:numPr>
          <w:ilvl w:val="1"/>
          <w:numId w:val="28"/>
        </w:numPr>
        <w:spacing w:after="120"/>
        <w:rPr>
          <w:rFonts w:ascii="Helvetica" w:hAnsi="Helvetica"/>
          <w:color w:val="auto"/>
          <w:sz w:val="20"/>
          <w:szCs w:val="20"/>
        </w:rPr>
      </w:pPr>
      <w:r w:rsidRPr="00C77F4E">
        <w:rPr>
          <w:rFonts w:ascii="Helvetica" w:hAnsi="Helvetica"/>
          <w:color w:val="auto"/>
          <w:sz w:val="20"/>
          <w:szCs w:val="20"/>
        </w:rPr>
        <w:t>Address values and core principles held in common throughout the profession and the academy relative to practice and discipline of architecture.</w:t>
      </w:r>
    </w:p>
    <w:p w14:paraId="5018395C" w14:textId="77777777" w:rsidR="00C77F4E" w:rsidRPr="00C77F4E" w:rsidRDefault="00C77F4E" w:rsidP="009F36C5">
      <w:pPr>
        <w:pStyle w:val="Default"/>
        <w:numPr>
          <w:ilvl w:val="1"/>
          <w:numId w:val="28"/>
        </w:numPr>
        <w:spacing w:after="120"/>
        <w:rPr>
          <w:rFonts w:ascii="Helvetica" w:hAnsi="Helvetica"/>
          <w:color w:val="auto"/>
          <w:sz w:val="20"/>
          <w:szCs w:val="20"/>
        </w:rPr>
      </w:pPr>
      <w:r w:rsidRPr="00C77F4E">
        <w:rPr>
          <w:rFonts w:ascii="Helvetica" w:hAnsi="Helvetica"/>
          <w:color w:val="auto"/>
          <w:sz w:val="20"/>
          <w:szCs w:val="20"/>
        </w:rPr>
        <w:t>Delete both implicit and explicit student learning outcomes; those that should be preserved are moved to II.1, SPC.</w:t>
      </w:r>
    </w:p>
    <w:p w14:paraId="4C5D58DC" w14:textId="77777777" w:rsidR="00C77F4E" w:rsidRPr="00C77F4E" w:rsidRDefault="00C77F4E" w:rsidP="009F36C5">
      <w:pPr>
        <w:pStyle w:val="Default"/>
        <w:numPr>
          <w:ilvl w:val="0"/>
          <w:numId w:val="28"/>
        </w:numPr>
        <w:spacing w:after="120"/>
        <w:rPr>
          <w:rFonts w:ascii="Helvetica" w:hAnsi="Helvetica"/>
          <w:color w:val="auto"/>
          <w:sz w:val="20"/>
          <w:szCs w:val="20"/>
        </w:rPr>
      </w:pPr>
      <w:r w:rsidRPr="00C77F4E">
        <w:rPr>
          <w:rFonts w:ascii="Helvetica" w:hAnsi="Helvetica"/>
          <w:color w:val="auto"/>
          <w:sz w:val="20"/>
          <w:szCs w:val="20"/>
        </w:rPr>
        <w:t>Simplify the conditions and eliminate redundancies.</w:t>
      </w:r>
    </w:p>
    <w:p w14:paraId="3426D2FA" w14:textId="77777777" w:rsidR="00C77F4E" w:rsidRPr="00C77F4E" w:rsidRDefault="00C77F4E" w:rsidP="009F36C5">
      <w:pPr>
        <w:pStyle w:val="Default"/>
        <w:numPr>
          <w:ilvl w:val="0"/>
          <w:numId w:val="28"/>
        </w:numPr>
        <w:spacing w:after="120"/>
        <w:rPr>
          <w:rFonts w:ascii="Helvetica" w:hAnsi="Helvetica"/>
          <w:color w:val="auto"/>
          <w:sz w:val="20"/>
          <w:szCs w:val="20"/>
        </w:rPr>
      </w:pPr>
      <w:r w:rsidRPr="00C77F4E">
        <w:rPr>
          <w:rFonts w:ascii="Helvetica" w:hAnsi="Helvetica"/>
          <w:color w:val="auto"/>
          <w:sz w:val="20"/>
          <w:szCs w:val="20"/>
        </w:rPr>
        <w:t>Establish a stand-alone realm for comprehensive or integrative design.</w:t>
      </w:r>
    </w:p>
    <w:p w14:paraId="50789F9B" w14:textId="77777777" w:rsidR="00C77F4E" w:rsidRPr="00C77F4E" w:rsidRDefault="00C77F4E" w:rsidP="009F36C5">
      <w:pPr>
        <w:pStyle w:val="Default"/>
        <w:numPr>
          <w:ilvl w:val="0"/>
          <w:numId w:val="28"/>
        </w:numPr>
        <w:spacing w:after="120"/>
        <w:rPr>
          <w:rFonts w:ascii="Helvetica" w:hAnsi="Helvetica"/>
          <w:color w:val="auto"/>
          <w:sz w:val="20"/>
          <w:szCs w:val="20"/>
        </w:rPr>
      </w:pPr>
      <w:r w:rsidRPr="00C77F4E">
        <w:rPr>
          <w:rFonts w:ascii="Helvetica" w:hAnsi="Helvetica"/>
          <w:color w:val="auto"/>
          <w:sz w:val="20"/>
          <w:szCs w:val="20"/>
        </w:rPr>
        <w:t>Use clear, common, unambiguous language.</w:t>
      </w:r>
    </w:p>
    <w:p w14:paraId="3E8FCE88" w14:textId="77777777" w:rsidR="00C77F4E" w:rsidRPr="00C77F4E" w:rsidRDefault="00C77F4E" w:rsidP="009F36C5">
      <w:pPr>
        <w:pStyle w:val="Default"/>
        <w:numPr>
          <w:ilvl w:val="0"/>
          <w:numId w:val="28"/>
        </w:numPr>
        <w:spacing w:after="120"/>
        <w:rPr>
          <w:rFonts w:ascii="Helvetica" w:hAnsi="Helvetica"/>
          <w:color w:val="auto"/>
          <w:sz w:val="20"/>
          <w:szCs w:val="20"/>
        </w:rPr>
      </w:pPr>
      <w:r w:rsidRPr="00C77F4E">
        <w:rPr>
          <w:rFonts w:ascii="Helvetica" w:hAnsi="Helvetica"/>
          <w:color w:val="auto"/>
          <w:sz w:val="20"/>
          <w:szCs w:val="20"/>
        </w:rPr>
        <w:t>Reframe the conditions on resources (I.2), especially financial resources (I.2.4) in order to link them to student achievement or student development.</w:t>
      </w:r>
    </w:p>
    <w:p w14:paraId="2DF30D5A" w14:textId="77777777" w:rsidR="00C77F4E" w:rsidRPr="00C77F4E" w:rsidRDefault="00C77F4E" w:rsidP="009F36C5">
      <w:pPr>
        <w:pStyle w:val="Default"/>
        <w:numPr>
          <w:ilvl w:val="0"/>
          <w:numId w:val="28"/>
        </w:numPr>
        <w:spacing w:after="120"/>
        <w:rPr>
          <w:rFonts w:ascii="Helvetica" w:hAnsi="Helvetica"/>
          <w:color w:val="auto"/>
          <w:sz w:val="20"/>
          <w:szCs w:val="20"/>
        </w:rPr>
      </w:pPr>
      <w:r w:rsidRPr="00C77F4E">
        <w:rPr>
          <w:rFonts w:ascii="Helvetica" w:hAnsi="Helvetica"/>
          <w:color w:val="auto"/>
          <w:sz w:val="20"/>
          <w:szCs w:val="20"/>
        </w:rPr>
        <w:t>Make bold recommendations in the first draft.</w:t>
      </w:r>
    </w:p>
    <w:p w14:paraId="6053F648" w14:textId="77777777" w:rsidR="00C77F4E" w:rsidRPr="00C77F4E" w:rsidRDefault="00C77F4E" w:rsidP="009F36C5">
      <w:pPr>
        <w:pStyle w:val="Default"/>
        <w:numPr>
          <w:ilvl w:val="0"/>
          <w:numId w:val="28"/>
        </w:numPr>
        <w:spacing w:after="120"/>
        <w:rPr>
          <w:rFonts w:ascii="Helvetica" w:hAnsi="Helvetica"/>
          <w:color w:val="auto"/>
          <w:sz w:val="20"/>
          <w:szCs w:val="20"/>
        </w:rPr>
      </w:pPr>
      <w:r w:rsidRPr="00C77F4E">
        <w:rPr>
          <w:rFonts w:ascii="Helvetica" w:hAnsi="Helvetica"/>
          <w:color w:val="auto"/>
          <w:sz w:val="20"/>
          <w:szCs w:val="20"/>
        </w:rPr>
        <w:t xml:space="preserve">Develop a companion document that includes advice and commentary from the NAAB, instructions to programs for preparing Architecture Program Reports, and a glossary. </w:t>
      </w:r>
    </w:p>
    <w:p w14:paraId="101C1807" w14:textId="77777777" w:rsidR="00C77F4E" w:rsidRPr="00C77F4E" w:rsidRDefault="00C77F4E" w:rsidP="00C77F4E">
      <w:pPr>
        <w:pStyle w:val="ListParagraph"/>
        <w:spacing w:after="120" w:line="240" w:lineRule="auto"/>
        <w:ind w:left="0"/>
        <w:rPr>
          <w:rFonts w:ascii="Helvetica" w:hAnsi="Helvetica" w:cs="Arial"/>
          <w:bCs/>
          <w:sz w:val="20"/>
          <w:szCs w:val="20"/>
        </w:rPr>
      </w:pPr>
      <w:r w:rsidRPr="00C77F4E">
        <w:rPr>
          <w:rFonts w:ascii="Helvetica" w:hAnsi="Helvetica" w:cs="Arial"/>
          <w:bCs/>
          <w:sz w:val="20"/>
          <w:szCs w:val="20"/>
        </w:rPr>
        <w:t xml:space="preserve">As a result of the last three years’ efforts and in keeping with the outcomes of ARC13, the </w:t>
      </w:r>
      <w:r w:rsidRPr="00C77F4E">
        <w:rPr>
          <w:rFonts w:ascii="Helvetica" w:hAnsi="Helvetica" w:cs="Arial"/>
          <w:bCs/>
          <w:i/>
          <w:sz w:val="20"/>
          <w:szCs w:val="20"/>
        </w:rPr>
        <w:t xml:space="preserve">Conditions </w:t>
      </w:r>
      <w:r w:rsidRPr="00C77F4E">
        <w:rPr>
          <w:rFonts w:ascii="Helvetica" w:hAnsi="Helvetica" w:cs="Arial"/>
          <w:bCs/>
          <w:sz w:val="20"/>
          <w:szCs w:val="20"/>
        </w:rPr>
        <w:t xml:space="preserve">have been revised. These revisions are significant in some areas, but not in others. </w:t>
      </w:r>
    </w:p>
    <w:p w14:paraId="20D27F4A" w14:textId="77777777" w:rsidR="00C77F4E" w:rsidRPr="00C77F4E" w:rsidRDefault="00C77F4E" w:rsidP="00C77F4E">
      <w:pPr>
        <w:pStyle w:val="ListParagraph"/>
        <w:spacing w:after="120" w:line="240" w:lineRule="auto"/>
        <w:ind w:left="0"/>
        <w:rPr>
          <w:rFonts w:ascii="Helvetica" w:hAnsi="Helvetica" w:cs="Arial"/>
          <w:bCs/>
          <w:sz w:val="20"/>
          <w:szCs w:val="20"/>
        </w:rPr>
      </w:pPr>
      <w:r w:rsidRPr="00C77F4E">
        <w:rPr>
          <w:rFonts w:ascii="Helvetica" w:hAnsi="Helvetica" w:cs="Arial"/>
          <w:bCs/>
          <w:sz w:val="20"/>
          <w:szCs w:val="20"/>
        </w:rPr>
        <w:t xml:space="preserve">Further, the NAAB has identified a number of procedural changes that may streamline the process of accreditation, while still maintaining a commitment to both the NAAB’s “prime directive” to avoid creating conditions that lead to uniformity of architecture education, and the core tenets of accreditation. These changes are being made in the next edition of the </w:t>
      </w:r>
      <w:r w:rsidRPr="00C77F4E">
        <w:rPr>
          <w:rFonts w:ascii="Helvetica" w:hAnsi="Helvetica" w:cs="Arial"/>
          <w:bCs/>
          <w:i/>
          <w:sz w:val="20"/>
          <w:szCs w:val="20"/>
        </w:rPr>
        <w:t>Procedures for Accreditation</w:t>
      </w:r>
      <w:r w:rsidRPr="00C77F4E">
        <w:rPr>
          <w:rFonts w:ascii="Helvetica" w:hAnsi="Helvetica" w:cs="Arial"/>
          <w:bCs/>
          <w:sz w:val="20"/>
          <w:szCs w:val="20"/>
        </w:rPr>
        <w:t>, scheduled for completion in early 2015.</w:t>
      </w:r>
    </w:p>
    <w:p w14:paraId="2D120897" w14:textId="77777777" w:rsidR="00CB494A" w:rsidRPr="002F5349" w:rsidRDefault="00CB494A" w:rsidP="002F5349">
      <w:pPr>
        <w:pStyle w:val="ListParagraph"/>
        <w:spacing w:after="120" w:line="240" w:lineRule="auto"/>
        <w:ind w:left="0"/>
        <w:rPr>
          <w:rFonts w:ascii="Arial" w:hAnsi="Arial" w:cs="Arial"/>
          <w:bCs/>
          <w:sz w:val="20"/>
          <w:szCs w:val="20"/>
        </w:rPr>
      </w:pPr>
    </w:p>
    <w:sectPr w:rsidR="00CB494A" w:rsidRPr="002F5349" w:rsidSect="00B35F9E">
      <w:headerReference w:type="even" r:id="rId18"/>
      <w:headerReference w:type="default" r:id="rId19"/>
      <w:footerReference w:type="even" r:id="rId20"/>
      <w:footerReference w:type="default" r:id="rId21"/>
      <w:headerReference w:type="first" r:id="rId22"/>
      <w:footerReference w:type="first" r:id="rId23"/>
      <w:pgSz w:w="12240" w:h="15840"/>
      <w:pgMar w:top="1440" w:right="1152" w:bottom="1152" w:left="30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C2679" w14:textId="77777777" w:rsidR="00673643" w:rsidRDefault="00673643" w:rsidP="00673614">
      <w:pPr>
        <w:spacing w:after="0" w:line="240" w:lineRule="auto"/>
      </w:pPr>
      <w:r>
        <w:separator/>
      </w:r>
    </w:p>
  </w:endnote>
  <w:endnote w:type="continuationSeparator" w:id="0">
    <w:p w14:paraId="3150AF31" w14:textId="77777777" w:rsidR="00673643" w:rsidRDefault="00673643" w:rsidP="0067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A0002AAF" w:usb1="4000204A"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59D22" w14:textId="77777777" w:rsidR="00D0353D" w:rsidRDefault="00D035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0C4DE" w14:textId="5ADB5313" w:rsidR="00673643" w:rsidRPr="0022678A" w:rsidRDefault="00673643">
    <w:pPr>
      <w:pStyle w:val="Footer"/>
      <w:jc w:val="right"/>
      <w:rPr>
        <w:rFonts w:ascii="Arial" w:hAnsi="Arial" w:cs="Arial"/>
        <w:sz w:val="20"/>
        <w:szCs w:val="20"/>
      </w:rPr>
    </w:pPr>
    <w:r w:rsidRPr="0022678A">
      <w:rPr>
        <w:rFonts w:ascii="Arial" w:hAnsi="Arial" w:cs="Arial"/>
        <w:sz w:val="20"/>
        <w:szCs w:val="20"/>
      </w:rPr>
      <w:fldChar w:fldCharType="begin"/>
    </w:r>
    <w:r w:rsidRPr="0022678A">
      <w:rPr>
        <w:rFonts w:ascii="Arial" w:hAnsi="Arial" w:cs="Arial"/>
        <w:sz w:val="20"/>
        <w:szCs w:val="20"/>
      </w:rPr>
      <w:instrText xml:space="preserve"> PAGE   \* MERGEFORMAT </w:instrText>
    </w:r>
    <w:r w:rsidRPr="0022678A">
      <w:rPr>
        <w:rFonts w:ascii="Arial" w:hAnsi="Arial" w:cs="Arial"/>
        <w:sz w:val="20"/>
        <w:szCs w:val="20"/>
      </w:rPr>
      <w:fldChar w:fldCharType="separate"/>
    </w:r>
    <w:r w:rsidR="009F36C5">
      <w:rPr>
        <w:rFonts w:ascii="Arial" w:hAnsi="Arial" w:cs="Arial"/>
        <w:noProof/>
        <w:sz w:val="20"/>
        <w:szCs w:val="20"/>
      </w:rPr>
      <w:t>21</w:t>
    </w:r>
    <w:r w:rsidRPr="0022678A">
      <w:rPr>
        <w:rFonts w:ascii="Arial" w:hAnsi="Arial" w:cs="Arial"/>
        <w:sz w:val="20"/>
        <w:szCs w:val="20"/>
      </w:rPr>
      <w:fldChar w:fldCharType="end"/>
    </w:r>
  </w:p>
  <w:p w14:paraId="3DCD50B1" w14:textId="77777777" w:rsidR="00673643" w:rsidRDefault="00673643">
    <w:pPr>
      <w:pStyle w:val="Footer"/>
    </w:pPr>
  </w:p>
  <w:p w14:paraId="089D5A31" w14:textId="77777777" w:rsidR="00673643" w:rsidRDefault="0067364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15F9E" w14:textId="77777777" w:rsidR="00673643" w:rsidRPr="00206056" w:rsidRDefault="00673643">
    <w:pPr>
      <w:pStyle w:val="Footer"/>
      <w:jc w:val="right"/>
      <w:rPr>
        <w:rFonts w:ascii="Arial" w:hAnsi="Arial" w:cs="Arial"/>
        <w:sz w:val="20"/>
        <w:szCs w:val="20"/>
      </w:rPr>
    </w:pPr>
    <w:r w:rsidRPr="00206056">
      <w:rPr>
        <w:rFonts w:ascii="Arial" w:hAnsi="Arial" w:cs="Arial"/>
        <w:sz w:val="20"/>
        <w:szCs w:val="20"/>
      </w:rPr>
      <w:fldChar w:fldCharType="begin"/>
    </w:r>
    <w:r w:rsidRPr="00206056">
      <w:rPr>
        <w:rFonts w:ascii="Arial" w:hAnsi="Arial" w:cs="Arial"/>
        <w:sz w:val="20"/>
        <w:szCs w:val="20"/>
      </w:rPr>
      <w:instrText xml:space="preserve"> PAGE   \* MERGEFORMAT </w:instrText>
    </w:r>
    <w:r w:rsidRPr="00206056">
      <w:rPr>
        <w:rFonts w:ascii="Arial" w:hAnsi="Arial" w:cs="Arial"/>
        <w:sz w:val="20"/>
        <w:szCs w:val="20"/>
      </w:rPr>
      <w:fldChar w:fldCharType="separate"/>
    </w:r>
    <w:r>
      <w:rPr>
        <w:rFonts w:ascii="Arial" w:hAnsi="Arial" w:cs="Arial"/>
        <w:noProof/>
        <w:sz w:val="20"/>
        <w:szCs w:val="20"/>
      </w:rPr>
      <w:t>1</w:t>
    </w:r>
    <w:r w:rsidRPr="00206056">
      <w:rPr>
        <w:rFonts w:ascii="Arial" w:hAnsi="Arial" w:cs="Arial"/>
        <w:sz w:val="20"/>
        <w:szCs w:val="20"/>
      </w:rPr>
      <w:fldChar w:fldCharType="end"/>
    </w:r>
  </w:p>
  <w:p w14:paraId="7A3DFBA0" w14:textId="77777777" w:rsidR="00673643" w:rsidRDefault="00673643" w:rsidP="004B559B">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F3923" w14:textId="77777777" w:rsidR="00673643" w:rsidRDefault="00673643" w:rsidP="00673614">
      <w:pPr>
        <w:spacing w:after="0" w:line="240" w:lineRule="auto"/>
      </w:pPr>
      <w:r>
        <w:separator/>
      </w:r>
    </w:p>
  </w:footnote>
  <w:footnote w:type="continuationSeparator" w:id="0">
    <w:p w14:paraId="53922DBB" w14:textId="77777777" w:rsidR="00673643" w:rsidRDefault="00673643" w:rsidP="00673614">
      <w:pPr>
        <w:spacing w:after="0" w:line="240" w:lineRule="auto"/>
      </w:pPr>
      <w:r>
        <w:continuationSeparator/>
      </w:r>
    </w:p>
  </w:footnote>
  <w:footnote w:id="1">
    <w:p w14:paraId="48F4E587" w14:textId="5D2E4C4A" w:rsidR="00673643" w:rsidRPr="00D52676" w:rsidRDefault="00673643" w:rsidP="005C4390">
      <w:pPr>
        <w:pStyle w:val="FootnoteText"/>
        <w:ind w:left="0"/>
        <w:rPr>
          <w:rFonts w:ascii="Helvetica" w:hAnsi="Helvetica" w:cs="Arial"/>
          <w:sz w:val="18"/>
          <w:szCs w:val="18"/>
        </w:rPr>
      </w:pPr>
      <w:r w:rsidRPr="00D52676">
        <w:rPr>
          <w:rStyle w:val="FootnoteReference"/>
          <w:rFonts w:ascii="Helvetica" w:hAnsi="Helvetica" w:cs="Arial"/>
          <w:sz w:val="18"/>
          <w:szCs w:val="18"/>
        </w:rPr>
        <w:footnoteRef/>
      </w:r>
      <w:r w:rsidRPr="00D52676">
        <w:rPr>
          <w:rFonts w:ascii="Helvetica" w:hAnsi="Helvetica" w:cs="Arial"/>
          <w:sz w:val="18"/>
          <w:szCs w:val="18"/>
        </w:rPr>
        <w:t xml:space="preserve"> This should be a physical address used by an overnight delivery service like UPS or FedEx.</w:t>
      </w:r>
    </w:p>
  </w:footnote>
  <w:footnote w:id="2">
    <w:p w14:paraId="04388DFE" w14:textId="79817985" w:rsidR="00673643" w:rsidRPr="00D52676" w:rsidRDefault="00673643" w:rsidP="007D05A8">
      <w:pPr>
        <w:pStyle w:val="FootnoteText"/>
        <w:ind w:left="0"/>
        <w:rPr>
          <w:rFonts w:ascii="Helvetica" w:hAnsi="Helvetica"/>
          <w:sz w:val="18"/>
          <w:szCs w:val="18"/>
        </w:rPr>
      </w:pPr>
      <w:r w:rsidRPr="00D52676">
        <w:rPr>
          <w:rStyle w:val="FootnoteReference"/>
          <w:rFonts w:ascii="Helvetica" w:hAnsi="Helvetica"/>
          <w:sz w:val="18"/>
          <w:szCs w:val="18"/>
        </w:rPr>
        <w:footnoteRef/>
      </w:r>
      <w:r w:rsidRPr="00D52676">
        <w:rPr>
          <w:rFonts w:ascii="Helvetica" w:hAnsi="Helvetica"/>
          <w:sz w:val="18"/>
          <w:szCs w:val="18"/>
        </w:rPr>
        <w:t xml:space="preserve"> </w:t>
      </w:r>
      <w:r w:rsidRPr="00D52676">
        <w:rPr>
          <w:rFonts w:ascii="Helvetica" w:hAnsi="Helvetica" w:cs="Arial"/>
          <w:sz w:val="18"/>
          <w:szCs w:val="18"/>
        </w:rPr>
        <w:t>In reviewing a program’s physical resources, the NAAB is not offering an opinion as to whether, or certifying that, the institution’s facilities comply with all applicable fire, safety, building, and health codes and regulations.</w:t>
      </w:r>
    </w:p>
  </w:footnote>
  <w:footnote w:id="3">
    <w:p w14:paraId="62FB9295" w14:textId="77777777" w:rsidR="00673643" w:rsidRPr="00D52676" w:rsidRDefault="00673643" w:rsidP="00B94225">
      <w:pPr>
        <w:pStyle w:val="FootnoteText"/>
        <w:ind w:left="0"/>
        <w:rPr>
          <w:rFonts w:ascii="Helvetica" w:hAnsi="Helvetica" w:cs="Arial"/>
          <w:sz w:val="18"/>
          <w:szCs w:val="18"/>
        </w:rPr>
      </w:pPr>
      <w:r w:rsidRPr="00D52676">
        <w:rPr>
          <w:rStyle w:val="FootnoteReference"/>
          <w:rFonts w:ascii="Helvetica" w:hAnsi="Helvetica" w:cs="Arial"/>
          <w:sz w:val="18"/>
          <w:szCs w:val="18"/>
        </w:rPr>
        <w:footnoteRef/>
      </w:r>
      <w:r w:rsidRPr="00D52676">
        <w:rPr>
          <w:rFonts w:ascii="Helvetica" w:hAnsi="Helvetica" w:cs="Arial"/>
          <w:sz w:val="18"/>
          <w:szCs w:val="18"/>
        </w:rPr>
        <w:t xml:space="preserve"> The Association of Students Chapters/AIA was later renamed The American Institute of Architecture Students (AIAS).</w:t>
      </w:r>
    </w:p>
  </w:footnote>
  <w:footnote w:id="4">
    <w:p w14:paraId="5016DF5E" w14:textId="77777777" w:rsidR="00C77F4E" w:rsidRPr="00D52676" w:rsidRDefault="00C77F4E" w:rsidP="00C77F4E">
      <w:pPr>
        <w:pStyle w:val="FootnoteText"/>
        <w:ind w:left="0"/>
        <w:rPr>
          <w:rFonts w:ascii="Helvetica" w:hAnsi="Helvetica" w:cs="Arial"/>
          <w:sz w:val="18"/>
          <w:szCs w:val="18"/>
        </w:rPr>
      </w:pPr>
      <w:r w:rsidRPr="00D52676">
        <w:rPr>
          <w:rStyle w:val="FootnoteReference"/>
          <w:rFonts w:ascii="Helvetica" w:hAnsi="Helvetica" w:cs="Arial"/>
          <w:sz w:val="18"/>
          <w:szCs w:val="18"/>
        </w:rPr>
        <w:footnoteRef/>
      </w:r>
      <w:r w:rsidRPr="00D52676">
        <w:rPr>
          <w:rFonts w:ascii="Helvetica" w:hAnsi="Helvetica" w:cs="Arial"/>
          <w:sz w:val="18"/>
          <w:szCs w:val="18"/>
        </w:rPr>
        <w:t xml:space="preserve"> </w:t>
      </w:r>
      <w:r w:rsidRPr="00D52676">
        <w:rPr>
          <w:rFonts w:ascii="Helvetica" w:hAnsi="Helvetica" w:cs="Arial"/>
          <w:i/>
          <w:sz w:val="18"/>
          <w:szCs w:val="18"/>
        </w:rPr>
        <w:t>1998 Conditions and Procedures for Professional Degree Programs in Architecture</w:t>
      </w:r>
      <w:r w:rsidRPr="00D52676">
        <w:rPr>
          <w:rFonts w:ascii="Helvetica" w:hAnsi="Helvetica" w:cs="Arial"/>
          <w:sz w:val="18"/>
          <w:szCs w:val="18"/>
        </w:rPr>
        <w:t>. National Architectural Accrediting Board. p.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36CB8" w14:textId="77777777" w:rsidR="00D0353D" w:rsidRDefault="00D035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401" w:type="pct"/>
      <w:tblInd w:w="-125" w:type="dxa"/>
      <w:tblBorders>
        <w:insideH w:val="single" w:sz="18" w:space="0" w:color="4F81BD"/>
        <w:insideV w:val="single" w:sz="18" w:space="0" w:color="9BBB59"/>
      </w:tblBorders>
      <w:tblCellMar>
        <w:top w:w="58" w:type="dxa"/>
        <w:left w:w="115" w:type="dxa"/>
        <w:bottom w:w="58" w:type="dxa"/>
        <w:right w:w="115" w:type="dxa"/>
      </w:tblCellMar>
      <w:tblLook w:val="04A0" w:firstRow="1" w:lastRow="0" w:firstColumn="1" w:lastColumn="0" w:noHBand="0" w:noVBand="1"/>
    </w:tblPr>
    <w:tblGrid>
      <w:gridCol w:w="243"/>
      <w:gridCol w:w="6855"/>
    </w:tblGrid>
    <w:tr w:rsidR="00673643" w14:paraId="2B8E0C7E" w14:textId="77777777" w:rsidTr="000637DA">
      <w:tc>
        <w:tcPr>
          <w:tcW w:w="171" w:type="pct"/>
          <w:tcBorders>
            <w:right w:val="single" w:sz="18" w:space="0" w:color="2E4117"/>
          </w:tcBorders>
        </w:tcPr>
        <w:p w14:paraId="4D5F597C" w14:textId="77777777" w:rsidR="00673643" w:rsidRPr="00C11C9C" w:rsidRDefault="00673643" w:rsidP="00F02A05">
          <w:pPr>
            <w:pStyle w:val="Header"/>
            <w:ind w:right="174"/>
            <w:rPr>
              <w:rFonts w:ascii="Arial" w:hAnsi="Arial" w:cs="Arial"/>
              <w:sz w:val="20"/>
              <w:szCs w:val="20"/>
            </w:rPr>
          </w:pPr>
        </w:p>
      </w:tc>
      <w:tc>
        <w:tcPr>
          <w:tcW w:w="4829" w:type="pct"/>
          <w:tcBorders>
            <w:top w:val="nil"/>
            <w:left w:val="single" w:sz="18" w:space="0" w:color="2E4117"/>
            <w:bottom w:val="nil"/>
          </w:tcBorders>
        </w:tcPr>
        <w:p w14:paraId="5DF8C442" w14:textId="750C72FB" w:rsidR="00673643" w:rsidRPr="000637DA" w:rsidRDefault="00673643" w:rsidP="005C5048">
          <w:pPr>
            <w:pStyle w:val="Header"/>
            <w:spacing w:after="0" w:line="240" w:lineRule="auto"/>
            <w:rPr>
              <w:rFonts w:ascii="Helvetica" w:eastAsia="Times New Roman" w:hAnsi="Helvetica" w:cs="Arial"/>
              <w:color w:val="4F81BD"/>
              <w:sz w:val="20"/>
              <w:szCs w:val="20"/>
            </w:rPr>
          </w:pPr>
          <w:r w:rsidRPr="000637DA">
            <w:rPr>
              <w:rFonts w:ascii="Helvetica" w:eastAsia="Times New Roman" w:hAnsi="Helvetica" w:cs="Arial"/>
              <w:sz w:val="20"/>
              <w:szCs w:val="20"/>
            </w:rPr>
            <w:t xml:space="preserve">A Guide to the 2014 Conditions for Accreditation and Preparation of an Architecture Program Report </w:t>
          </w:r>
          <w:r w:rsidR="00D0353D">
            <w:rPr>
              <w:rFonts w:ascii="Helvetica" w:eastAsia="Times New Roman" w:hAnsi="Helvetica" w:cs="Arial"/>
              <w:sz w:val="20"/>
              <w:szCs w:val="20"/>
            </w:rPr>
            <w:t xml:space="preserve">   </w:t>
          </w:r>
          <w:r w:rsidRPr="00D0353D">
            <w:rPr>
              <w:rFonts w:ascii="Helvetica" w:eastAsia="Times New Roman" w:hAnsi="Helvetica" w:cs="Arial"/>
              <w:b/>
              <w:color w:val="2E4117"/>
              <w:sz w:val="20"/>
              <w:szCs w:val="20"/>
            </w:rPr>
            <w:t>2</w:t>
          </w:r>
          <w:r w:rsidRPr="00D0353D">
            <w:rPr>
              <w:rFonts w:ascii="Helvetica" w:eastAsia="Times New Roman" w:hAnsi="Helvetica" w:cs="Arial"/>
              <w:b/>
              <w:color w:val="2E4117"/>
              <w:sz w:val="20"/>
              <w:szCs w:val="20"/>
              <w:vertAlign w:val="superscript"/>
            </w:rPr>
            <w:t>nd</w:t>
          </w:r>
          <w:r w:rsidR="00D0353D">
            <w:rPr>
              <w:rFonts w:ascii="Helvetica" w:eastAsia="Times New Roman" w:hAnsi="Helvetica" w:cs="Arial"/>
              <w:b/>
              <w:color w:val="2E4117"/>
              <w:sz w:val="20"/>
              <w:szCs w:val="20"/>
            </w:rPr>
            <w:t xml:space="preserve"> E</w:t>
          </w:r>
          <w:r w:rsidRPr="00D0353D">
            <w:rPr>
              <w:rFonts w:ascii="Helvetica" w:eastAsia="Times New Roman" w:hAnsi="Helvetica" w:cs="Arial"/>
              <w:b/>
              <w:color w:val="2E4117"/>
              <w:sz w:val="20"/>
              <w:szCs w:val="20"/>
            </w:rPr>
            <w:t>dition</w:t>
          </w:r>
        </w:p>
      </w:tc>
    </w:tr>
  </w:tbl>
  <w:p w14:paraId="03820290" w14:textId="77777777" w:rsidR="00673643" w:rsidRPr="00292C99" w:rsidRDefault="00673643" w:rsidP="00673614">
    <w:pPr>
      <w:pStyle w:val="Header"/>
      <w:tabs>
        <w:tab w:val="clear" w:pos="4680"/>
        <w:tab w:val="clear" w:pos="9360"/>
      </w:tabs>
      <w:spacing w:after="0" w:line="240" w:lineRule="auto"/>
      <w:rPr>
        <w:rFonts w:ascii="Arial" w:hAnsi="Arial" w:cs="Arial"/>
      </w:rPr>
    </w:pPr>
    <w:r>
      <w:rPr>
        <w:rFonts w:ascii="Arial" w:hAnsi="Arial" w:cs="Arial"/>
      </w:rPr>
      <w:softHyphen/>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83" w:type="pct"/>
      <w:tblInd w:w="-245" w:type="dxa"/>
      <w:tblBorders>
        <w:insideH w:val="single" w:sz="18" w:space="0" w:color="4F81BD"/>
        <w:insideV w:val="single" w:sz="18" w:space="0" w:color="9BBB59"/>
      </w:tblBorders>
      <w:tblCellMar>
        <w:top w:w="58" w:type="dxa"/>
        <w:left w:w="115" w:type="dxa"/>
        <w:bottom w:w="58" w:type="dxa"/>
        <w:right w:w="115" w:type="dxa"/>
      </w:tblCellMar>
      <w:tblLook w:val="04A0" w:firstRow="1" w:lastRow="0" w:firstColumn="1" w:lastColumn="0" w:noHBand="0" w:noVBand="1"/>
    </w:tblPr>
    <w:tblGrid>
      <w:gridCol w:w="404"/>
      <w:gridCol w:w="7696"/>
    </w:tblGrid>
    <w:tr w:rsidR="00673643" w14:paraId="74E7829D" w14:textId="77777777" w:rsidTr="0051304E">
      <w:tc>
        <w:tcPr>
          <w:tcW w:w="249" w:type="pct"/>
        </w:tcPr>
        <w:p w14:paraId="7D80FB2C" w14:textId="77777777" w:rsidR="00673643" w:rsidRPr="00C11C9C" w:rsidRDefault="00673643" w:rsidP="00F02A05">
          <w:pPr>
            <w:pStyle w:val="Header"/>
            <w:ind w:right="174"/>
            <w:rPr>
              <w:rFonts w:ascii="Arial" w:hAnsi="Arial" w:cs="Arial"/>
              <w:sz w:val="20"/>
              <w:szCs w:val="20"/>
            </w:rPr>
          </w:pPr>
        </w:p>
      </w:tc>
      <w:tc>
        <w:tcPr>
          <w:tcW w:w="4751" w:type="pct"/>
        </w:tcPr>
        <w:p w14:paraId="5830C0E4" w14:textId="77777777" w:rsidR="00673643" w:rsidRDefault="00673643" w:rsidP="005C67D4">
          <w:pPr>
            <w:pStyle w:val="Header"/>
            <w:spacing w:after="120" w:line="240" w:lineRule="auto"/>
            <w:ind w:right="-461"/>
            <w:rPr>
              <w:rFonts w:ascii="Arial" w:eastAsia="Times New Roman" w:hAnsi="Arial" w:cs="Arial"/>
              <w:sz w:val="20"/>
              <w:szCs w:val="20"/>
            </w:rPr>
          </w:pPr>
          <w:r>
            <w:rPr>
              <w:rFonts w:ascii="Arial" w:eastAsia="Times New Roman" w:hAnsi="Arial" w:cs="Arial"/>
              <w:sz w:val="20"/>
              <w:szCs w:val="20"/>
            </w:rPr>
            <w:t>A Guide to the 2014 Co</w:t>
          </w:r>
          <w:r w:rsidRPr="00C11C9C">
            <w:rPr>
              <w:rFonts w:ascii="Arial" w:eastAsia="Times New Roman" w:hAnsi="Arial" w:cs="Arial"/>
              <w:sz w:val="20"/>
              <w:szCs w:val="20"/>
            </w:rPr>
            <w:t>nditions for</w:t>
          </w:r>
          <w:r>
            <w:rPr>
              <w:rFonts w:ascii="Arial" w:eastAsia="Times New Roman" w:hAnsi="Arial" w:cs="Arial"/>
              <w:sz w:val="20"/>
              <w:szCs w:val="20"/>
            </w:rPr>
            <w:t xml:space="preserve"> A</w:t>
          </w:r>
          <w:r w:rsidRPr="00C11C9C">
            <w:rPr>
              <w:rFonts w:ascii="Arial" w:eastAsia="Times New Roman" w:hAnsi="Arial" w:cs="Arial"/>
              <w:sz w:val="20"/>
              <w:szCs w:val="20"/>
            </w:rPr>
            <w:t>ccreditation</w:t>
          </w:r>
          <w:r>
            <w:rPr>
              <w:rFonts w:ascii="Arial" w:eastAsia="Times New Roman" w:hAnsi="Arial" w:cs="Arial"/>
              <w:sz w:val="20"/>
              <w:szCs w:val="20"/>
            </w:rPr>
            <w:t xml:space="preserve"> and Instructions for Preparing an Architecture Program Report</w:t>
          </w:r>
        </w:p>
        <w:p w14:paraId="6164D90C" w14:textId="77777777" w:rsidR="00673643" w:rsidRPr="00AF7D85" w:rsidRDefault="00673643" w:rsidP="005C67D4">
          <w:pPr>
            <w:pStyle w:val="Header"/>
            <w:spacing w:after="120" w:line="240" w:lineRule="auto"/>
            <w:ind w:right="-461"/>
            <w:rPr>
              <w:rFonts w:ascii="Arial" w:eastAsia="Times New Roman" w:hAnsi="Arial" w:cs="Arial"/>
              <w:sz w:val="20"/>
              <w:szCs w:val="20"/>
            </w:rPr>
          </w:pPr>
        </w:p>
      </w:tc>
    </w:tr>
  </w:tbl>
  <w:p w14:paraId="708AB865" w14:textId="77777777" w:rsidR="00673643" w:rsidRDefault="00673643" w:rsidP="009C7DB4">
    <w:pPr>
      <w:pStyle w:val="Header"/>
      <w:ind w:left="-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24B"/>
    <w:multiLevelType w:val="hybridMultilevel"/>
    <w:tmpl w:val="2708D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8C718E"/>
    <w:multiLevelType w:val="hybridMultilevel"/>
    <w:tmpl w:val="6A7EE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E24F65"/>
    <w:multiLevelType w:val="hybridMultilevel"/>
    <w:tmpl w:val="4610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66722"/>
    <w:multiLevelType w:val="hybridMultilevel"/>
    <w:tmpl w:val="940645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A5BF2"/>
    <w:multiLevelType w:val="hybridMultilevel"/>
    <w:tmpl w:val="D4987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73569"/>
    <w:multiLevelType w:val="hybridMultilevel"/>
    <w:tmpl w:val="72A0F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F72AC"/>
    <w:multiLevelType w:val="hybridMultilevel"/>
    <w:tmpl w:val="0C1E3E62"/>
    <w:lvl w:ilvl="0" w:tplc="04090003">
      <w:start w:val="1"/>
      <w:numFmt w:val="bullet"/>
      <w:lvlText w:val="o"/>
      <w:lvlJc w:val="left"/>
      <w:pPr>
        <w:ind w:left="720" w:hanging="360"/>
      </w:pPr>
      <w:rPr>
        <w:rFonts w:ascii="Courier New" w:hAnsi="Courier New" w:cs="Wingdings"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817DD"/>
    <w:multiLevelType w:val="hybridMultilevel"/>
    <w:tmpl w:val="B3DA4172"/>
    <w:lvl w:ilvl="0" w:tplc="3E966C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1420C"/>
    <w:multiLevelType w:val="hybridMultilevel"/>
    <w:tmpl w:val="53626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E55F9"/>
    <w:multiLevelType w:val="hybridMultilevel"/>
    <w:tmpl w:val="09BE0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595885"/>
    <w:multiLevelType w:val="hybridMultilevel"/>
    <w:tmpl w:val="97063514"/>
    <w:lvl w:ilvl="0" w:tplc="9DD46C3C">
      <w:start w:val="1"/>
      <w:numFmt w:val="decimal"/>
      <w:lvlText w:val="%1."/>
      <w:lvlJc w:val="left"/>
      <w:pPr>
        <w:ind w:left="720" w:hanging="360"/>
      </w:pPr>
      <w:rPr>
        <w:b w:val="0"/>
      </w:rPr>
    </w:lvl>
    <w:lvl w:ilvl="1" w:tplc="C66A6D0A">
      <w:start w:val="1"/>
      <w:numFmt w:val="lowerLetter"/>
      <w:lvlText w:val="%2."/>
      <w:lvlJc w:val="left"/>
      <w:pPr>
        <w:ind w:left="1440" w:hanging="360"/>
      </w:pPr>
      <w:rPr>
        <w:b w:val="0"/>
      </w:rPr>
    </w:lvl>
    <w:lvl w:ilvl="2" w:tplc="940C058A">
      <w:start w:val="1"/>
      <w:numFmt w:val="lowerRoman"/>
      <w:lvlText w:val="%3."/>
      <w:lvlJc w:val="right"/>
      <w:pPr>
        <w:ind w:left="2160" w:hanging="180"/>
      </w:pPr>
      <w:rPr>
        <w:b w:val="0"/>
      </w:rPr>
    </w:lvl>
    <w:lvl w:ilvl="3" w:tplc="0F28DF3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22ED2"/>
    <w:multiLevelType w:val="hybridMultilevel"/>
    <w:tmpl w:val="77E2B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2662B"/>
    <w:multiLevelType w:val="hybridMultilevel"/>
    <w:tmpl w:val="95766B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4E2F00"/>
    <w:multiLevelType w:val="hybridMultilevel"/>
    <w:tmpl w:val="924A9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82DF7"/>
    <w:multiLevelType w:val="hybridMultilevel"/>
    <w:tmpl w:val="13C0FAC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37643563"/>
    <w:multiLevelType w:val="hybridMultilevel"/>
    <w:tmpl w:val="A44E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364E1"/>
    <w:multiLevelType w:val="hybridMultilevel"/>
    <w:tmpl w:val="9B3A8B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D65FB"/>
    <w:multiLevelType w:val="hybridMultilevel"/>
    <w:tmpl w:val="5730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D64B4"/>
    <w:multiLevelType w:val="hybridMultilevel"/>
    <w:tmpl w:val="0D92E2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075072"/>
    <w:multiLevelType w:val="hybridMultilevel"/>
    <w:tmpl w:val="BE52F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644D4C"/>
    <w:multiLevelType w:val="hybridMultilevel"/>
    <w:tmpl w:val="24C4D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232128"/>
    <w:multiLevelType w:val="hybridMultilevel"/>
    <w:tmpl w:val="51D2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A030F4"/>
    <w:multiLevelType w:val="hybridMultilevel"/>
    <w:tmpl w:val="9D0A33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6176FC1"/>
    <w:multiLevelType w:val="hybridMultilevel"/>
    <w:tmpl w:val="02365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930118"/>
    <w:multiLevelType w:val="hybridMultilevel"/>
    <w:tmpl w:val="69DE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F27A5"/>
    <w:multiLevelType w:val="hybridMultilevel"/>
    <w:tmpl w:val="4F8E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697B00"/>
    <w:multiLevelType w:val="hybridMultilevel"/>
    <w:tmpl w:val="D21C3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CC36B7"/>
    <w:multiLevelType w:val="hybridMultilevel"/>
    <w:tmpl w:val="A91079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D47956"/>
    <w:multiLevelType w:val="hybridMultilevel"/>
    <w:tmpl w:val="BFBC05B8"/>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9" w15:restartNumberingAfterBreak="0">
    <w:nsid w:val="668C5CF1"/>
    <w:multiLevelType w:val="hybridMultilevel"/>
    <w:tmpl w:val="AA38D1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B37D8D"/>
    <w:multiLevelType w:val="hybridMultilevel"/>
    <w:tmpl w:val="CF769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D77DC2"/>
    <w:multiLevelType w:val="hybridMultilevel"/>
    <w:tmpl w:val="96D6F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9D3402"/>
    <w:multiLevelType w:val="hybridMultilevel"/>
    <w:tmpl w:val="BD10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6B21C8"/>
    <w:multiLevelType w:val="hybridMultilevel"/>
    <w:tmpl w:val="F8EE708C"/>
    <w:lvl w:ilvl="0" w:tplc="2754101E">
      <w:start w:val="1"/>
      <w:numFmt w:val="upperLetter"/>
      <w:lvlText w:val="%1."/>
      <w:lvlJc w:val="left"/>
      <w:pPr>
        <w:ind w:left="720" w:hanging="360"/>
      </w:pPr>
      <w:rPr>
        <w:rFonts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782042"/>
    <w:multiLevelType w:val="hybridMultilevel"/>
    <w:tmpl w:val="6F8C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10"/>
  </w:num>
  <w:num w:numId="4">
    <w:abstractNumId w:val="16"/>
  </w:num>
  <w:num w:numId="5">
    <w:abstractNumId w:val="3"/>
  </w:num>
  <w:num w:numId="6">
    <w:abstractNumId w:val="8"/>
  </w:num>
  <w:num w:numId="7">
    <w:abstractNumId w:val="28"/>
  </w:num>
  <w:num w:numId="8">
    <w:abstractNumId w:val="34"/>
  </w:num>
  <w:num w:numId="9">
    <w:abstractNumId w:val="18"/>
  </w:num>
  <w:num w:numId="10">
    <w:abstractNumId w:val="29"/>
  </w:num>
  <w:num w:numId="11">
    <w:abstractNumId w:val="20"/>
  </w:num>
  <w:num w:numId="12">
    <w:abstractNumId w:val="11"/>
  </w:num>
  <w:num w:numId="13">
    <w:abstractNumId w:val="5"/>
  </w:num>
  <w:num w:numId="14">
    <w:abstractNumId w:val="6"/>
  </w:num>
  <w:num w:numId="15">
    <w:abstractNumId w:val="27"/>
  </w:num>
  <w:num w:numId="16">
    <w:abstractNumId w:val="17"/>
  </w:num>
  <w:num w:numId="17">
    <w:abstractNumId w:val="26"/>
  </w:num>
  <w:num w:numId="18">
    <w:abstractNumId w:val="15"/>
  </w:num>
  <w:num w:numId="19">
    <w:abstractNumId w:val="23"/>
  </w:num>
  <w:num w:numId="20">
    <w:abstractNumId w:val="7"/>
  </w:num>
  <w:num w:numId="21">
    <w:abstractNumId w:val="12"/>
  </w:num>
  <w:num w:numId="22">
    <w:abstractNumId w:val="9"/>
  </w:num>
  <w:num w:numId="23">
    <w:abstractNumId w:val="13"/>
  </w:num>
  <w:num w:numId="24">
    <w:abstractNumId w:val="2"/>
  </w:num>
  <w:num w:numId="25">
    <w:abstractNumId w:val="24"/>
  </w:num>
  <w:num w:numId="26">
    <w:abstractNumId w:val="32"/>
  </w:num>
  <w:num w:numId="27">
    <w:abstractNumId w:val="14"/>
  </w:num>
  <w:num w:numId="28">
    <w:abstractNumId w:val="31"/>
  </w:num>
  <w:num w:numId="29">
    <w:abstractNumId w:val="22"/>
  </w:num>
  <w:num w:numId="30">
    <w:abstractNumId w:val="0"/>
  </w:num>
  <w:num w:numId="31">
    <w:abstractNumId w:val="30"/>
  </w:num>
  <w:num w:numId="32">
    <w:abstractNumId w:val="19"/>
  </w:num>
  <w:num w:numId="33">
    <w:abstractNumId w:val="1"/>
  </w:num>
  <w:num w:numId="34">
    <w:abstractNumId w:val="4"/>
  </w:num>
  <w:num w:numId="35">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8A"/>
    <w:rsid w:val="00007A23"/>
    <w:rsid w:val="00021DFF"/>
    <w:rsid w:val="00031404"/>
    <w:rsid w:val="000323B7"/>
    <w:rsid w:val="00053CC2"/>
    <w:rsid w:val="000637DA"/>
    <w:rsid w:val="00073006"/>
    <w:rsid w:val="00075D3F"/>
    <w:rsid w:val="000840BC"/>
    <w:rsid w:val="000871ED"/>
    <w:rsid w:val="00093363"/>
    <w:rsid w:val="00094C87"/>
    <w:rsid w:val="0009542B"/>
    <w:rsid w:val="000C09ED"/>
    <w:rsid w:val="000C25F0"/>
    <w:rsid w:val="000E744A"/>
    <w:rsid w:val="000F03B8"/>
    <w:rsid w:val="000F195D"/>
    <w:rsid w:val="000F403B"/>
    <w:rsid w:val="0010020F"/>
    <w:rsid w:val="001013CB"/>
    <w:rsid w:val="00121FE2"/>
    <w:rsid w:val="0012724B"/>
    <w:rsid w:val="00136371"/>
    <w:rsid w:val="00140699"/>
    <w:rsid w:val="001515DB"/>
    <w:rsid w:val="00152A5A"/>
    <w:rsid w:val="00162186"/>
    <w:rsid w:val="00163115"/>
    <w:rsid w:val="001733FF"/>
    <w:rsid w:val="00183BA1"/>
    <w:rsid w:val="00187344"/>
    <w:rsid w:val="00196B20"/>
    <w:rsid w:val="001A124D"/>
    <w:rsid w:val="001A7E53"/>
    <w:rsid w:val="001B63D0"/>
    <w:rsid w:val="001C3792"/>
    <w:rsid w:val="001C6999"/>
    <w:rsid w:val="001C7AAF"/>
    <w:rsid w:val="001C7F6A"/>
    <w:rsid w:val="001D29B7"/>
    <w:rsid w:val="001D71BD"/>
    <w:rsid w:val="001F341A"/>
    <w:rsid w:val="001F6AC4"/>
    <w:rsid w:val="001F77E7"/>
    <w:rsid w:val="00203FB2"/>
    <w:rsid w:val="00206056"/>
    <w:rsid w:val="002245F5"/>
    <w:rsid w:val="0022678A"/>
    <w:rsid w:val="00234171"/>
    <w:rsid w:val="00246D2E"/>
    <w:rsid w:val="00254D8B"/>
    <w:rsid w:val="00255ED8"/>
    <w:rsid w:val="0027794F"/>
    <w:rsid w:val="00292C99"/>
    <w:rsid w:val="0029576D"/>
    <w:rsid w:val="002A1CCE"/>
    <w:rsid w:val="002A7CE1"/>
    <w:rsid w:val="002B327F"/>
    <w:rsid w:val="002C3380"/>
    <w:rsid w:val="002D01AF"/>
    <w:rsid w:val="002D205F"/>
    <w:rsid w:val="002D5533"/>
    <w:rsid w:val="002E22DE"/>
    <w:rsid w:val="002E268E"/>
    <w:rsid w:val="002E480F"/>
    <w:rsid w:val="002F4C17"/>
    <w:rsid w:val="002F5349"/>
    <w:rsid w:val="002F74D9"/>
    <w:rsid w:val="00315AAD"/>
    <w:rsid w:val="00337911"/>
    <w:rsid w:val="00341D92"/>
    <w:rsid w:val="00343A36"/>
    <w:rsid w:val="00356A5E"/>
    <w:rsid w:val="003750DB"/>
    <w:rsid w:val="003913EE"/>
    <w:rsid w:val="00391A1E"/>
    <w:rsid w:val="003966AB"/>
    <w:rsid w:val="003A51C2"/>
    <w:rsid w:val="003B1184"/>
    <w:rsid w:val="003B235E"/>
    <w:rsid w:val="003C5901"/>
    <w:rsid w:val="003C6D0B"/>
    <w:rsid w:val="003C7E5F"/>
    <w:rsid w:val="003D30AE"/>
    <w:rsid w:val="003E3DDB"/>
    <w:rsid w:val="003E7E33"/>
    <w:rsid w:val="003F2392"/>
    <w:rsid w:val="003F28C9"/>
    <w:rsid w:val="003F2EDA"/>
    <w:rsid w:val="003F5957"/>
    <w:rsid w:val="003F77D3"/>
    <w:rsid w:val="00400B96"/>
    <w:rsid w:val="004055EC"/>
    <w:rsid w:val="0040696D"/>
    <w:rsid w:val="0041078A"/>
    <w:rsid w:val="00416FC0"/>
    <w:rsid w:val="00417D75"/>
    <w:rsid w:val="004201CF"/>
    <w:rsid w:val="0042188B"/>
    <w:rsid w:val="004238C8"/>
    <w:rsid w:val="004703CD"/>
    <w:rsid w:val="0047275D"/>
    <w:rsid w:val="0048663D"/>
    <w:rsid w:val="00487808"/>
    <w:rsid w:val="00493B26"/>
    <w:rsid w:val="00495B2A"/>
    <w:rsid w:val="004A0CE7"/>
    <w:rsid w:val="004B559B"/>
    <w:rsid w:val="004B7792"/>
    <w:rsid w:val="004D10B4"/>
    <w:rsid w:val="004D270C"/>
    <w:rsid w:val="004D3D3D"/>
    <w:rsid w:val="004E605C"/>
    <w:rsid w:val="004F39C2"/>
    <w:rsid w:val="004F429A"/>
    <w:rsid w:val="004F509F"/>
    <w:rsid w:val="005007DA"/>
    <w:rsid w:val="005055B0"/>
    <w:rsid w:val="0051304E"/>
    <w:rsid w:val="00516AAC"/>
    <w:rsid w:val="00517419"/>
    <w:rsid w:val="00520BD6"/>
    <w:rsid w:val="00522BE1"/>
    <w:rsid w:val="00531B68"/>
    <w:rsid w:val="0053527B"/>
    <w:rsid w:val="005409C1"/>
    <w:rsid w:val="00543BA2"/>
    <w:rsid w:val="00552CEF"/>
    <w:rsid w:val="00561032"/>
    <w:rsid w:val="005672EC"/>
    <w:rsid w:val="00570D72"/>
    <w:rsid w:val="00571F9D"/>
    <w:rsid w:val="0057294E"/>
    <w:rsid w:val="00583499"/>
    <w:rsid w:val="0058403F"/>
    <w:rsid w:val="005B1A29"/>
    <w:rsid w:val="005C04BF"/>
    <w:rsid w:val="005C398C"/>
    <w:rsid w:val="005C4390"/>
    <w:rsid w:val="005C5048"/>
    <w:rsid w:val="005C5BCA"/>
    <w:rsid w:val="005C67D4"/>
    <w:rsid w:val="005D235F"/>
    <w:rsid w:val="005E20CF"/>
    <w:rsid w:val="005E374E"/>
    <w:rsid w:val="005E5609"/>
    <w:rsid w:val="005E651A"/>
    <w:rsid w:val="005F13F0"/>
    <w:rsid w:val="005F613B"/>
    <w:rsid w:val="0061114E"/>
    <w:rsid w:val="00611DF2"/>
    <w:rsid w:val="00611F47"/>
    <w:rsid w:val="006147D0"/>
    <w:rsid w:val="0061593F"/>
    <w:rsid w:val="00620C55"/>
    <w:rsid w:val="00620FE8"/>
    <w:rsid w:val="006219CB"/>
    <w:rsid w:val="00625879"/>
    <w:rsid w:val="006416BB"/>
    <w:rsid w:val="00653A76"/>
    <w:rsid w:val="006645FB"/>
    <w:rsid w:val="006703F1"/>
    <w:rsid w:val="00672FE0"/>
    <w:rsid w:val="00673614"/>
    <w:rsid w:val="00673643"/>
    <w:rsid w:val="006800C7"/>
    <w:rsid w:val="006A3EBE"/>
    <w:rsid w:val="006B1D8E"/>
    <w:rsid w:val="006D5EBB"/>
    <w:rsid w:val="00711EFF"/>
    <w:rsid w:val="0071387B"/>
    <w:rsid w:val="00720F6D"/>
    <w:rsid w:val="00721ABE"/>
    <w:rsid w:val="00724329"/>
    <w:rsid w:val="0072436C"/>
    <w:rsid w:val="007263D6"/>
    <w:rsid w:val="00734113"/>
    <w:rsid w:val="00741B31"/>
    <w:rsid w:val="007461B9"/>
    <w:rsid w:val="007522C2"/>
    <w:rsid w:val="007620C3"/>
    <w:rsid w:val="00774FF8"/>
    <w:rsid w:val="00782FAA"/>
    <w:rsid w:val="00785597"/>
    <w:rsid w:val="007A0ECF"/>
    <w:rsid w:val="007A3869"/>
    <w:rsid w:val="007A3D70"/>
    <w:rsid w:val="007A4663"/>
    <w:rsid w:val="007A61CD"/>
    <w:rsid w:val="007B0D43"/>
    <w:rsid w:val="007B136E"/>
    <w:rsid w:val="007C0FC5"/>
    <w:rsid w:val="007C389D"/>
    <w:rsid w:val="007C41C3"/>
    <w:rsid w:val="007D05A8"/>
    <w:rsid w:val="007E0EFD"/>
    <w:rsid w:val="007E5AC7"/>
    <w:rsid w:val="007E7666"/>
    <w:rsid w:val="007F746B"/>
    <w:rsid w:val="00814809"/>
    <w:rsid w:val="008165DD"/>
    <w:rsid w:val="00825450"/>
    <w:rsid w:val="00827BCE"/>
    <w:rsid w:val="00827BED"/>
    <w:rsid w:val="0083547C"/>
    <w:rsid w:val="00836A78"/>
    <w:rsid w:val="0084250A"/>
    <w:rsid w:val="008463AE"/>
    <w:rsid w:val="008548EE"/>
    <w:rsid w:val="008578E0"/>
    <w:rsid w:val="008646BD"/>
    <w:rsid w:val="008677D9"/>
    <w:rsid w:val="00891880"/>
    <w:rsid w:val="00894213"/>
    <w:rsid w:val="008A0011"/>
    <w:rsid w:val="008B30C7"/>
    <w:rsid w:val="008C0B98"/>
    <w:rsid w:val="008C3B55"/>
    <w:rsid w:val="008C628B"/>
    <w:rsid w:val="009032D6"/>
    <w:rsid w:val="009036BB"/>
    <w:rsid w:val="00905790"/>
    <w:rsid w:val="009162D2"/>
    <w:rsid w:val="0092781A"/>
    <w:rsid w:val="00941C47"/>
    <w:rsid w:val="00942AEF"/>
    <w:rsid w:val="009454A1"/>
    <w:rsid w:val="00956322"/>
    <w:rsid w:val="009721A8"/>
    <w:rsid w:val="00973A07"/>
    <w:rsid w:val="009752D6"/>
    <w:rsid w:val="00981953"/>
    <w:rsid w:val="0098550E"/>
    <w:rsid w:val="0099040C"/>
    <w:rsid w:val="0099156D"/>
    <w:rsid w:val="00993C03"/>
    <w:rsid w:val="009A0655"/>
    <w:rsid w:val="009A0DF0"/>
    <w:rsid w:val="009A617F"/>
    <w:rsid w:val="009A717F"/>
    <w:rsid w:val="009B6103"/>
    <w:rsid w:val="009C7C91"/>
    <w:rsid w:val="009C7DB4"/>
    <w:rsid w:val="009D499E"/>
    <w:rsid w:val="009E1E84"/>
    <w:rsid w:val="009F36C5"/>
    <w:rsid w:val="009F4AA2"/>
    <w:rsid w:val="009F6211"/>
    <w:rsid w:val="00A168A9"/>
    <w:rsid w:val="00A20130"/>
    <w:rsid w:val="00A27E4E"/>
    <w:rsid w:val="00A35244"/>
    <w:rsid w:val="00A35410"/>
    <w:rsid w:val="00A41176"/>
    <w:rsid w:val="00A635FB"/>
    <w:rsid w:val="00A75BAE"/>
    <w:rsid w:val="00A82C6D"/>
    <w:rsid w:val="00A82E1D"/>
    <w:rsid w:val="00A83E96"/>
    <w:rsid w:val="00A937B9"/>
    <w:rsid w:val="00AC6678"/>
    <w:rsid w:val="00AC6B76"/>
    <w:rsid w:val="00AD2586"/>
    <w:rsid w:val="00AE718C"/>
    <w:rsid w:val="00AF7D85"/>
    <w:rsid w:val="00B222A4"/>
    <w:rsid w:val="00B33AC4"/>
    <w:rsid w:val="00B35D28"/>
    <w:rsid w:val="00B35DA2"/>
    <w:rsid w:val="00B35F9E"/>
    <w:rsid w:val="00B457CE"/>
    <w:rsid w:val="00B5099E"/>
    <w:rsid w:val="00B52CFD"/>
    <w:rsid w:val="00B5590F"/>
    <w:rsid w:val="00B6768B"/>
    <w:rsid w:val="00B723BD"/>
    <w:rsid w:val="00B82A6F"/>
    <w:rsid w:val="00B8759A"/>
    <w:rsid w:val="00B94225"/>
    <w:rsid w:val="00BA0473"/>
    <w:rsid w:val="00BA1149"/>
    <w:rsid w:val="00BA5A3C"/>
    <w:rsid w:val="00BA5ECB"/>
    <w:rsid w:val="00BA5FDD"/>
    <w:rsid w:val="00BA6419"/>
    <w:rsid w:val="00BB7993"/>
    <w:rsid w:val="00BC48EC"/>
    <w:rsid w:val="00BC5BE1"/>
    <w:rsid w:val="00BC7637"/>
    <w:rsid w:val="00BD51BD"/>
    <w:rsid w:val="00BD5E6A"/>
    <w:rsid w:val="00BE0C87"/>
    <w:rsid w:val="00BE38FF"/>
    <w:rsid w:val="00BE6D3E"/>
    <w:rsid w:val="00BF02A9"/>
    <w:rsid w:val="00BF10B4"/>
    <w:rsid w:val="00BF179A"/>
    <w:rsid w:val="00C00A25"/>
    <w:rsid w:val="00C02BBF"/>
    <w:rsid w:val="00C11C9C"/>
    <w:rsid w:val="00C2183E"/>
    <w:rsid w:val="00C23F60"/>
    <w:rsid w:val="00C24862"/>
    <w:rsid w:val="00C546C3"/>
    <w:rsid w:val="00C6467E"/>
    <w:rsid w:val="00C77F4E"/>
    <w:rsid w:val="00C803F3"/>
    <w:rsid w:val="00C821D8"/>
    <w:rsid w:val="00C95651"/>
    <w:rsid w:val="00CA4ED6"/>
    <w:rsid w:val="00CB13C6"/>
    <w:rsid w:val="00CB2826"/>
    <w:rsid w:val="00CB494A"/>
    <w:rsid w:val="00CC47C7"/>
    <w:rsid w:val="00CD26A4"/>
    <w:rsid w:val="00CD31CD"/>
    <w:rsid w:val="00CD6059"/>
    <w:rsid w:val="00CE43DC"/>
    <w:rsid w:val="00CF4389"/>
    <w:rsid w:val="00D0353D"/>
    <w:rsid w:val="00D4525F"/>
    <w:rsid w:val="00D46812"/>
    <w:rsid w:val="00D47BBA"/>
    <w:rsid w:val="00D47C47"/>
    <w:rsid w:val="00D52676"/>
    <w:rsid w:val="00D71572"/>
    <w:rsid w:val="00D77DE7"/>
    <w:rsid w:val="00D844BC"/>
    <w:rsid w:val="00D87775"/>
    <w:rsid w:val="00DA15A1"/>
    <w:rsid w:val="00DA3855"/>
    <w:rsid w:val="00DB4941"/>
    <w:rsid w:val="00DC20F6"/>
    <w:rsid w:val="00DC749A"/>
    <w:rsid w:val="00DE034E"/>
    <w:rsid w:val="00DE5513"/>
    <w:rsid w:val="00DE5F66"/>
    <w:rsid w:val="00DE6F85"/>
    <w:rsid w:val="00DF33B6"/>
    <w:rsid w:val="00DF3665"/>
    <w:rsid w:val="00E064C1"/>
    <w:rsid w:val="00E06CF6"/>
    <w:rsid w:val="00E11B21"/>
    <w:rsid w:val="00E207AE"/>
    <w:rsid w:val="00E40772"/>
    <w:rsid w:val="00E434F7"/>
    <w:rsid w:val="00E4491A"/>
    <w:rsid w:val="00E56215"/>
    <w:rsid w:val="00E567CD"/>
    <w:rsid w:val="00E743F7"/>
    <w:rsid w:val="00E767FB"/>
    <w:rsid w:val="00E95EC0"/>
    <w:rsid w:val="00EA0C5D"/>
    <w:rsid w:val="00EA189B"/>
    <w:rsid w:val="00EA261B"/>
    <w:rsid w:val="00EB0738"/>
    <w:rsid w:val="00EC16D4"/>
    <w:rsid w:val="00EC39F3"/>
    <w:rsid w:val="00ED7121"/>
    <w:rsid w:val="00EE0649"/>
    <w:rsid w:val="00EE34F2"/>
    <w:rsid w:val="00EE5590"/>
    <w:rsid w:val="00EE795A"/>
    <w:rsid w:val="00F02A05"/>
    <w:rsid w:val="00F11297"/>
    <w:rsid w:val="00F14E58"/>
    <w:rsid w:val="00F22B4D"/>
    <w:rsid w:val="00F24BE6"/>
    <w:rsid w:val="00F26B12"/>
    <w:rsid w:val="00F31026"/>
    <w:rsid w:val="00F735A8"/>
    <w:rsid w:val="00F91A99"/>
    <w:rsid w:val="00F92A37"/>
    <w:rsid w:val="00F92D0B"/>
    <w:rsid w:val="00F95E1E"/>
    <w:rsid w:val="00FA0A21"/>
    <w:rsid w:val="00FA4F52"/>
    <w:rsid w:val="00FB0379"/>
    <w:rsid w:val="00FB213D"/>
    <w:rsid w:val="00FB30D3"/>
    <w:rsid w:val="00FC7A43"/>
    <w:rsid w:val="00FD40A9"/>
    <w:rsid w:val="00FD6A21"/>
    <w:rsid w:val="00FE132F"/>
    <w:rsid w:val="00FE3680"/>
    <w:rsid w:val="00FF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046C9B"/>
  <w15:docId w15:val="{0684BEEC-EC46-4519-8F11-2CCEEA46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78A"/>
    <w:pPr>
      <w:spacing w:after="200" w:line="276" w:lineRule="auto"/>
    </w:pPr>
    <w:rPr>
      <w:sz w:val="22"/>
      <w:szCs w:val="22"/>
    </w:rPr>
  </w:style>
  <w:style w:type="paragraph" w:styleId="Heading1">
    <w:name w:val="heading 1"/>
    <w:basedOn w:val="Normal"/>
    <w:next w:val="Normal"/>
    <w:link w:val="Heading1Char"/>
    <w:uiPriority w:val="9"/>
    <w:qFormat/>
    <w:rsid w:val="00D7694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541F2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541F2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D96A76"/>
    <w:pPr>
      <w:keepNext/>
      <w:widowControl w:val="0"/>
      <w:tabs>
        <w:tab w:val="left" w:pos="-1080"/>
        <w:tab w:val="left" w:pos="-720"/>
        <w:tab w:val="left" w:pos="0"/>
        <w:tab w:val="left" w:pos="450"/>
        <w:tab w:val="left" w:pos="900"/>
        <w:tab w:val="left" w:pos="1170"/>
        <w:tab w:val="left" w:pos="1530"/>
        <w:tab w:val="left" w:pos="3060"/>
        <w:tab w:val="left" w:pos="4320"/>
      </w:tabs>
      <w:autoSpaceDE w:val="0"/>
      <w:autoSpaceDN w:val="0"/>
      <w:adjustRightInd w:val="0"/>
      <w:spacing w:after="0" w:line="240" w:lineRule="auto"/>
      <w:jc w:val="center"/>
      <w:outlineLvl w:val="3"/>
    </w:pPr>
    <w:rPr>
      <w:rFonts w:ascii="Arial" w:eastAsia="Times New Roman" w:hAnsi="Arial" w:cs="Arial"/>
      <w:b/>
      <w:bCs/>
      <w:color w:val="000000"/>
    </w:rPr>
  </w:style>
  <w:style w:type="paragraph" w:styleId="Heading5">
    <w:name w:val="heading 5"/>
    <w:basedOn w:val="Normal"/>
    <w:next w:val="Normal"/>
    <w:link w:val="Heading5Char"/>
    <w:qFormat/>
    <w:rsid w:val="00D96A76"/>
    <w:pPr>
      <w:keepNext/>
      <w:widowControl w:val="0"/>
      <w:tabs>
        <w:tab w:val="left" w:pos="-1080"/>
        <w:tab w:val="left" w:pos="-720"/>
        <w:tab w:val="left" w:pos="0"/>
        <w:tab w:val="left" w:pos="450"/>
        <w:tab w:val="left" w:pos="900"/>
        <w:tab w:val="left" w:pos="1170"/>
        <w:tab w:val="left" w:pos="1530"/>
        <w:tab w:val="left" w:pos="3060"/>
        <w:tab w:val="left" w:pos="4320"/>
      </w:tabs>
      <w:autoSpaceDE w:val="0"/>
      <w:autoSpaceDN w:val="0"/>
      <w:adjustRightInd w:val="0"/>
      <w:spacing w:after="0" w:line="240" w:lineRule="auto"/>
      <w:ind w:left="810"/>
      <w:jc w:val="center"/>
      <w:outlineLvl w:val="4"/>
    </w:pPr>
    <w:rPr>
      <w:rFonts w:ascii="Franklin Gothic Book" w:eastAsia="Times New Roman" w:hAnsi="Franklin Gothic Book" w:cs="Arial"/>
      <w:b/>
      <w:bCs/>
      <w:color w:val="000000"/>
      <w:sz w:val="28"/>
    </w:rPr>
  </w:style>
  <w:style w:type="paragraph" w:styleId="Heading6">
    <w:name w:val="heading 6"/>
    <w:basedOn w:val="Normal"/>
    <w:next w:val="Normal"/>
    <w:link w:val="Heading6Char"/>
    <w:qFormat/>
    <w:rsid w:val="00D96A76"/>
    <w:pPr>
      <w:keepNext/>
      <w:widowControl w:val="0"/>
      <w:tabs>
        <w:tab w:val="left" w:pos="-1080"/>
        <w:tab w:val="left" w:pos="-720"/>
        <w:tab w:val="left" w:pos="0"/>
        <w:tab w:val="left" w:pos="450"/>
        <w:tab w:val="left" w:pos="1170"/>
        <w:tab w:val="left" w:pos="3060"/>
        <w:tab w:val="left" w:pos="4320"/>
      </w:tabs>
      <w:autoSpaceDE w:val="0"/>
      <w:autoSpaceDN w:val="0"/>
      <w:adjustRightInd w:val="0"/>
      <w:spacing w:after="0" w:line="240" w:lineRule="auto"/>
      <w:outlineLvl w:val="5"/>
    </w:pPr>
    <w:rPr>
      <w:rFonts w:ascii="Franklin Gothic Book" w:eastAsia="Times New Roman" w:hAnsi="Franklin Gothic Book" w:cs="Arial"/>
      <w:b/>
      <w:bCs/>
      <w:color w:val="000000"/>
      <w:sz w:val="24"/>
    </w:rPr>
  </w:style>
  <w:style w:type="paragraph" w:styleId="Heading7">
    <w:name w:val="heading 7"/>
    <w:basedOn w:val="Normal"/>
    <w:next w:val="Normal"/>
    <w:link w:val="Heading7Char"/>
    <w:qFormat/>
    <w:rsid w:val="00D96A76"/>
    <w:pPr>
      <w:keepNext/>
      <w:widowControl w:val="0"/>
      <w:tabs>
        <w:tab w:val="left" w:pos="-1080"/>
        <w:tab w:val="left" w:pos="-720"/>
        <w:tab w:val="left" w:pos="0"/>
        <w:tab w:val="left" w:pos="450"/>
        <w:tab w:val="left" w:pos="900"/>
        <w:tab w:val="left" w:pos="1170"/>
        <w:tab w:val="left" w:pos="1530"/>
        <w:tab w:val="left" w:pos="3060"/>
        <w:tab w:val="left" w:pos="4320"/>
      </w:tabs>
      <w:autoSpaceDE w:val="0"/>
      <w:autoSpaceDN w:val="0"/>
      <w:adjustRightInd w:val="0"/>
      <w:spacing w:after="0" w:line="240" w:lineRule="auto"/>
      <w:ind w:left="810"/>
      <w:jc w:val="center"/>
      <w:outlineLvl w:val="6"/>
    </w:pPr>
    <w:rPr>
      <w:rFonts w:ascii="Franklin Gothic Book" w:eastAsia="Times New Roman" w:hAnsi="Franklin Gothic Book" w:cs="Arial"/>
      <w:b/>
      <w:bCs/>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7694A"/>
    <w:rPr>
      <w:rFonts w:ascii="Cambria" w:eastAsia="Times New Roman" w:hAnsi="Cambria" w:cs="Times New Roman"/>
      <w:b/>
      <w:bCs/>
      <w:color w:val="365F91"/>
      <w:sz w:val="28"/>
      <w:szCs w:val="28"/>
    </w:rPr>
  </w:style>
  <w:style w:type="character" w:customStyle="1" w:styleId="Heading2Char">
    <w:name w:val="Heading 2 Char"/>
    <w:link w:val="Heading2"/>
    <w:semiHidden/>
    <w:rsid w:val="00541F2E"/>
    <w:rPr>
      <w:rFonts w:ascii="Cambria" w:eastAsia="Times New Roman" w:hAnsi="Cambria" w:cs="Times New Roman"/>
      <w:b/>
      <w:bCs/>
      <w:i/>
      <w:iCs/>
      <w:sz w:val="28"/>
      <w:szCs w:val="28"/>
    </w:rPr>
  </w:style>
  <w:style w:type="character" w:customStyle="1" w:styleId="Heading3Char">
    <w:name w:val="Heading 3 Char"/>
    <w:link w:val="Heading3"/>
    <w:semiHidden/>
    <w:rsid w:val="00541F2E"/>
    <w:rPr>
      <w:rFonts w:ascii="Cambria" w:eastAsia="Times New Roman" w:hAnsi="Cambria" w:cs="Times New Roman"/>
      <w:b/>
      <w:bCs/>
      <w:sz w:val="26"/>
      <w:szCs w:val="26"/>
    </w:rPr>
  </w:style>
  <w:style w:type="character" w:customStyle="1" w:styleId="Heading4Char">
    <w:name w:val="Heading 4 Char"/>
    <w:link w:val="Heading4"/>
    <w:rsid w:val="00D96A76"/>
    <w:rPr>
      <w:rFonts w:ascii="Arial" w:eastAsia="Times New Roman" w:hAnsi="Arial" w:cs="Arial"/>
      <w:b/>
      <w:bCs/>
      <w:color w:val="000000"/>
    </w:rPr>
  </w:style>
  <w:style w:type="character" w:customStyle="1" w:styleId="Heading5Char">
    <w:name w:val="Heading 5 Char"/>
    <w:link w:val="Heading5"/>
    <w:rsid w:val="00D96A76"/>
    <w:rPr>
      <w:rFonts w:ascii="Franklin Gothic Book" w:eastAsia="Times New Roman" w:hAnsi="Franklin Gothic Book" w:cs="Arial"/>
      <w:b/>
      <w:bCs/>
      <w:color w:val="000000"/>
      <w:sz w:val="28"/>
    </w:rPr>
  </w:style>
  <w:style w:type="character" w:customStyle="1" w:styleId="Heading6Char">
    <w:name w:val="Heading 6 Char"/>
    <w:link w:val="Heading6"/>
    <w:rsid w:val="00D96A76"/>
    <w:rPr>
      <w:rFonts w:ascii="Franklin Gothic Book" w:eastAsia="Times New Roman" w:hAnsi="Franklin Gothic Book" w:cs="Arial"/>
      <w:b/>
      <w:bCs/>
      <w:color w:val="000000"/>
      <w:sz w:val="24"/>
    </w:rPr>
  </w:style>
  <w:style w:type="character" w:customStyle="1" w:styleId="Heading7Char">
    <w:name w:val="Heading 7 Char"/>
    <w:link w:val="Heading7"/>
    <w:rsid w:val="00D96A76"/>
    <w:rPr>
      <w:rFonts w:ascii="Franklin Gothic Book" w:eastAsia="Times New Roman" w:hAnsi="Franklin Gothic Book" w:cs="Arial"/>
      <w:b/>
      <w:bCs/>
      <w:color w:val="000000"/>
      <w:sz w:val="24"/>
    </w:rPr>
  </w:style>
  <w:style w:type="paragraph" w:styleId="Header">
    <w:name w:val="header"/>
    <w:basedOn w:val="Normal"/>
    <w:link w:val="HeaderChar"/>
    <w:uiPriority w:val="99"/>
    <w:unhideWhenUsed/>
    <w:rsid w:val="0022678A"/>
    <w:pPr>
      <w:tabs>
        <w:tab w:val="center" w:pos="4680"/>
        <w:tab w:val="right" w:pos="9360"/>
      </w:tabs>
    </w:pPr>
  </w:style>
  <w:style w:type="character" w:customStyle="1" w:styleId="HeaderChar">
    <w:name w:val="Header Char"/>
    <w:basedOn w:val="DefaultParagraphFont"/>
    <w:link w:val="Header"/>
    <w:uiPriority w:val="99"/>
    <w:rsid w:val="0022678A"/>
  </w:style>
  <w:style w:type="paragraph" w:styleId="Footer">
    <w:name w:val="footer"/>
    <w:basedOn w:val="Normal"/>
    <w:link w:val="FooterChar"/>
    <w:uiPriority w:val="99"/>
    <w:unhideWhenUsed/>
    <w:rsid w:val="0022678A"/>
    <w:pPr>
      <w:tabs>
        <w:tab w:val="center" w:pos="4680"/>
        <w:tab w:val="right" w:pos="9360"/>
      </w:tabs>
    </w:pPr>
  </w:style>
  <w:style w:type="character" w:customStyle="1" w:styleId="FooterChar">
    <w:name w:val="Footer Char"/>
    <w:basedOn w:val="DefaultParagraphFont"/>
    <w:link w:val="Footer"/>
    <w:uiPriority w:val="99"/>
    <w:rsid w:val="0022678A"/>
  </w:style>
  <w:style w:type="paragraph" w:styleId="BalloonText">
    <w:name w:val="Balloon Text"/>
    <w:basedOn w:val="Normal"/>
    <w:link w:val="BalloonTextChar"/>
    <w:uiPriority w:val="99"/>
    <w:semiHidden/>
    <w:unhideWhenUsed/>
    <w:rsid w:val="0022678A"/>
    <w:rPr>
      <w:rFonts w:ascii="Tahoma" w:hAnsi="Tahoma" w:cs="Tahoma"/>
      <w:sz w:val="16"/>
      <w:szCs w:val="16"/>
    </w:rPr>
  </w:style>
  <w:style w:type="character" w:customStyle="1" w:styleId="BalloonTextChar">
    <w:name w:val="Balloon Text Char"/>
    <w:link w:val="BalloonText"/>
    <w:uiPriority w:val="99"/>
    <w:semiHidden/>
    <w:rsid w:val="0022678A"/>
    <w:rPr>
      <w:rFonts w:ascii="Tahoma" w:hAnsi="Tahoma" w:cs="Tahoma"/>
      <w:sz w:val="16"/>
      <w:szCs w:val="16"/>
    </w:rPr>
  </w:style>
  <w:style w:type="paragraph" w:customStyle="1" w:styleId="LightGrid-Accent31">
    <w:name w:val="Light Grid - Accent 31"/>
    <w:basedOn w:val="Normal"/>
    <w:uiPriority w:val="34"/>
    <w:qFormat/>
    <w:rsid w:val="0022678A"/>
    <w:pPr>
      <w:ind w:left="720"/>
      <w:contextualSpacing/>
    </w:pPr>
  </w:style>
  <w:style w:type="paragraph" w:customStyle="1" w:styleId="a">
    <w:next w:val="NoSpacing"/>
    <w:link w:val="NoSpacingChar"/>
    <w:uiPriority w:val="1"/>
    <w:qFormat/>
    <w:rsid w:val="0022678A"/>
    <w:pPr>
      <w:spacing w:after="200" w:line="276" w:lineRule="auto"/>
      <w:ind w:left="360"/>
    </w:pPr>
    <w:rPr>
      <w:sz w:val="22"/>
      <w:szCs w:val="22"/>
    </w:rPr>
  </w:style>
  <w:style w:type="paragraph" w:styleId="NoSpacing">
    <w:name w:val="No Spacing"/>
    <w:uiPriority w:val="1"/>
    <w:qFormat/>
    <w:rsid w:val="00253CA8"/>
    <w:rPr>
      <w:sz w:val="22"/>
      <w:szCs w:val="22"/>
    </w:rPr>
  </w:style>
  <w:style w:type="character" w:customStyle="1" w:styleId="NoSpacingChar">
    <w:name w:val="No Spacing Char"/>
    <w:link w:val="a"/>
    <w:uiPriority w:val="1"/>
    <w:rsid w:val="006C546F"/>
    <w:rPr>
      <w:sz w:val="22"/>
      <w:szCs w:val="22"/>
      <w:lang w:val="en-US" w:eastAsia="en-US" w:bidi="ar-SA"/>
    </w:rPr>
  </w:style>
  <w:style w:type="paragraph" w:styleId="FootnoteText">
    <w:name w:val="footnote text"/>
    <w:basedOn w:val="Normal"/>
    <w:link w:val="FootnoteTextChar"/>
    <w:uiPriority w:val="99"/>
    <w:unhideWhenUsed/>
    <w:rsid w:val="0022678A"/>
    <w:pPr>
      <w:spacing w:after="0" w:line="240" w:lineRule="auto"/>
      <w:ind w:left="907"/>
    </w:pPr>
    <w:rPr>
      <w:sz w:val="20"/>
      <w:szCs w:val="20"/>
    </w:rPr>
  </w:style>
  <w:style w:type="character" w:customStyle="1" w:styleId="FootnoteTextChar">
    <w:name w:val="Footnote Text Char"/>
    <w:link w:val="FootnoteText"/>
    <w:uiPriority w:val="99"/>
    <w:rsid w:val="0022678A"/>
    <w:rPr>
      <w:sz w:val="20"/>
      <w:szCs w:val="20"/>
    </w:rPr>
  </w:style>
  <w:style w:type="character" w:styleId="FootnoteReference">
    <w:name w:val="footnote reference"/>
    <w:uiPriority w:val="99"/>
    <w:semiHidden/>
    <w:unhideWhenUsed/>
    <w:rsid w:val="0022678A"/>
    <w:rPr>
      <w:vertAlign w:val="superscript"/>
    </w:rPr>
  </w:style>
  <w:style w:type="paragraph" w:styleId="BodyTextIndent3">
    <w:name w:val="Body Text Indent 3"/>
    <w:basedOn w:val="Normal"/>
    <w:link w:val="BodyTextIndent3Char"/>
    <w:rsid w:val="00EE7968"/>
    <w:pPr>
      <w:widowControl w:val="0"/>
      <w:tabs>
        <w:tab w:val="left" w:pos="-1080"/>
        <w:tab w:val="left" w:pos="-720"/>
        <w:tab w:val="left" w:pos="0"/>
        <w:tab w:val="left" w:pos="900"/>
        <w:tab w:val="left" w:pos="1170"/>
        <w:tab w:val="left" w:pos="1530"/>
        <w:tab w:val="left" w:pos="3060"/>
        <w:tab w:val="left" w:pos="4320"/>
      </w:tabs>
      <w:autoSpaceDE w:val="0"/>
      <w:autoSpaceDN w:val="0"/>
      <w:adjustRightInd w:val="0"/>
      <w:spacing w:after="0" w:line="240" w:lineRule="auto"/>
      <w:ind w:left="900"/>
    </w:pPr>
    <w:rPr>
      <w:rFonts w:ascii="Arial" w:eastAsia="Times New Roman" w:hAnsi="Arial" w:cs="Arial"/>
      <w:color w:val="000000"/>
    </w:rPr>
  </w:style>
  <w:style w:type="character" w:customStyle="1" w:styleId="BodyTextIndent3Char">
    <w:name w:val="Body Text Indent 3 Char"/>
    <w:link w:val="BodyTextIndent3"/>
    <w:rsid w:val="00EE7968"/>
    <w:rPr>
      <w:rFonts w:ascii="Arial" w:eastAsia="Times New Roman" w:hAnsi="Arial" w:cs="Arial"/>
      <w:color w:val="000000"/>
    </w:rPr>
  </w:style>
  <w:style w:type="character" w:styleId="CommentReference">
    <w:name w:val="annotation reference"/>
    <w:uiPriority w:val="99"/>
    <w:semiHidden/>
    <w:rsid w:val="00226876"/>
    <w:rPr>
      <w:rFonts w:cs="Times New Roman"/>
      <w:sz w:val="16"/>
      <w:szCs w:val="16"/>
    </w:rPr>
  </w:style>
  <w:style w:type="paragraph" w:styleId="CommentText">
    <w:name w:val="annotation text"/>
    <w:basedOn w:val="Normal"/>
    <w:link w:val="CommentTextChar"/>
    <w:semiHidden/>
    <w:rsid w:val="00226876"/>
    <w:pPr>
      <w:spacing w:after="0" w:line="240" w:lineRule="auto"/>
    </w:pPr>
    <w:rPr>
      <w:sz w:val="20"/>
      <w:szCs w:val="20"/>
    </w:rPr>
  </w:style>
  <w:style w:type="character" w:customStyle="1" w:styleId="CommentTextChar">
    <w:name w:val="Comment Text Char"/>
    <w:link w:val="CommentText"/>
    <w:semiHidden/>
    <w:rsid w:val="00226876"/>
    <w:rPr>
      <w:rFonts w:ascii="Calibri" w:eastAsia="Calibri" w:hAnsi="Calibri" w:cs="Times New Roman"/>
      <w:sz w:val="20"/>
      <w:szCs w:val="20"/>
    </w:rPr>
  </w:style>
  <w:style w:type="character" w:styleId="Emphasis">
    <w:name w:val="Emphasis"/>
    <w:qFormat/>
    <w:rsid w:val="00157674"/>
    <w:rPr>
      <w:i/>
      <w:iCs/>
    </w:rPr>
  </w:style>
  <w:style w:type="paragraph" w:styleId="CommentSubject">
    <w:name w:val="annotation subject"/>
    <w:basedOn w:val="CommentText"/>
    <w:next w:val="CommentText"/>
    <w:link w:val="CommentSubjectChar"/>
    <w:uiPriority w:val="99"/>
    <w:semiHidden/>
    <w:unhideWhenUsed/>
    <w:rsid w:val="00D96A76"/>
    <w:pPr>
      <w:spacing w:after="200"/>
    </w:pPr>
    <w:rPr>
      <w:b/>
      <w:bCs/>
    </w:rPr>
  </w:style>
  <w:style w:type="character" w:customStyle="1" w:styleId="CommentSubjectChar">
    <w:name w:val="Comment Subject Char"/>
    <w:link w:val="CommentSubject"/>
    <w:uiPriority w:val="99"/>
    <w:semiHidden/>
    <w:rsid w:val="00D96A76"/>
    <w:rPr>
      <w:rFonts w:ascii="Calibri" w:eastAsia="Calibri" w:hAnsi="Calibri" w:cs="Times New Roman"/>
      <w:b/>
      <w:bCs/>
      <w:sz w:val="20"/>
      <w:szCs w:val="20"/>
    </w:rPr>
  </w:style>
  <w:style w:type="paragraph" w:styleId="BlockText">
    <w:name w:val="Block Text"/>
    <w:basedOn w:val="Normal"/>
    <w:rsid w:val="00D7694A"/>
    <w:pPr>
      <w:spacing w:after="0" w:line="240" w:lineRule="auto"/>
      <w:ind w:left="1296" w:right="1152"/>
      <w:jc w:val="both"/>
    </w:pPr>
    <w:rPr>
      <w:rFonts w:ascii="Arial" w:eastAsia="Times New Roman" w:hAnsi="Arial" w:cs="Arial"/>
      <w:szCs w:val="24"/>
    </w:rPr>
  </w:style>
  <w:style w:type="paragraph" w:customStyle="1" w:styleId="LightList-Accent31">
    <w:name w:val="Light List - Accent 31"/>
    <w:hidden/>
    <w:uiPriority w:val="99"/>
    <w:semiHidden/>
    <w:rsid w:val="002062EB"/>
    <w:rPr>
      <w:sz w:val="22"/>
      <w:szCs w:val="22"/>
    </w:rPr>
  </w:style>
  <w:style w:type="character" w:customStyle="1" w:styleId="apple-converted-space">
    <w:name w:val="apple-converted-space"/>
    <w:basedOn w:val="DefaultParagraphFont"/>
    <w:rsid w:val="002C40B5"/>
  </w:style>
  <w:style w:type="table" w:styleId="TableGrid">
    <w:name w:val="Table Grid"/>
    <w:basedOn w:val="TableNormal"/>
    <w:uiPriority w:val="59"/>
    <w:rsid w:val="00A379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unhideWhenUsed/>
    <w:rsid w:val="0084299E"/>
    <w:pPr>
      <w:spacing w:after="120" w:line="480" w:lineRule="auto"/>
      <w:ind w:left="360"/>
    </w:pPr>
  </w:style>
  <w:style w:type="character" w:customStyle="1" w:styleId="BodyTextIndent2Char">
    <w:name w:val="Body Text Indent 2 Char"/>
    <w:link w:val="BodyTextIndent2"/>
    <w:uiPriority w:val="99"/>
    <w:rsid w:val="0084299E"/>
    <w:rPr>
      <w:sz w:val="22"/>
      <w:szCs w:val="22"/>
    </w:rPr>
  </w:style>
  <w:style w:type="paragraph" w:customStyle="1" w:styleId="ColorfulList-Accent11">
    <w:name w:val="Colorful List - Accent 11"/>
    <w:basedOn w:val="Normal"/>
    <w:uiPriority w:val="34"/>
    <w:qFormat/>
    <w:rsid w:val="00253CA8"/>
    <w:pPr>
      <w:ind w:left="720"/>
      <w:contextualSpacing/>
    </w:pPr>
  </w:style>
  <w:style w:type="paragraph" w:customStyle="1" w:styleId="ColorfulShading-Accent11">
    <w:name w:val="Colorful Shading - Accent 11"/>
    <w:hidden/>
    <w:uiPriority w:val="99"/>
    <w:semiHidden/>
    <w:rsid w:val="00253CA8"/>
    <w:rPr>
      <w:sz w:val="22"/>
      <w:szCs w:val="22"/>
    </w:rPr>
  </w:style>
  <w:style w:type="paragraph" w:customStyle="1" w:styleId="ColorfulList-Accent12">
    <w:name w:val="Colorful List - Accent 12"/>
    <w:basedOn w:val="Normal"/>
    <w:qFormat/>
    <w:rsid w:val="00253CA8"/>
    <w:pPr>
      <w:ind w:left="720"/>
      <w:contextualSpacing/>
    </w:pPr>
  </w:style>
  <w:style w:type="character" w:styleId="Hyperlink">
    <w:name w:val="Hyperlink"/>
    <w:uiPriority w:val="99"/>
    <w:rsid w:val="00253CA8"/>
    <w:rPr>
      <w:color w:val="0000FF"/>
      <w:u w:val="single"/>
    </w:rPr>
  </w:style>
  <w:style w:type="paragraph" w:styleId="ListParagraph">
    <w:name w:val="List Paragraph"/>
    <w:basedOn w:val="Normal"/>
    <w:link w:val="ListParagraphChar"/>
    <w:uiPriority w:val="34"/>
    <w:qFormat/>
    <w:rsid w:val="00347DE4"/>
    <w:pPr>
      <w:ind w:left="720"/>
    </w:pPr>
  </w:style>
  <w:style w:type="paragraph" w:styleId="TOCHeading">
    <w:name w:val="TOC Heading"/>
    <w:basedOn w:val="Heading1"/>
    <w:next w:val="Normal"/>
    <w:uiPriority w:val="39"/>
    <w:qFormat/>
    <w:rsid w:val="00541F2E"/>
    <w:pPr>
      <w:outlineLvl w:val="9"/>
    </w:pPr>
  </w:style>
  <w:style w:type="paragraph" w:styleId="TOC2">
    <w:name w:val="toc 2"/>
    <w:basedOn w:val="Normal"/>
    <w:next w:val="Normal"/>
    <w:autoRedefine/>
    <w:uiPriority w:val="39"/>
    <w:unhideWhenUsed/>
    <w:qFormat/>
    <w:rsid w:val="00814809"/>
    <w:pPr>
      <w:tabs>
        <w:tab w:val="right" w:leader="dot" w:pos="8054"/>
      </w:tabs>
      <w:spacing w:after="100"/>
      <w:ind w:left="720"/>
    </w:pPr>
    <w:rPr>
      <w:rFonts w:eastAsia="Times New Roman"/>
    </w:rPr>
  </w:style>
  <w:style w:type="paragraph" w:styleId="TOC1">
    <w:name w:val="toc 1"/>
    <w:basedOn w:val="Normal"/>
    <w:next w:val="Normal"/>
    <w:autoRedefine/>
    <w:uiPriority w:val="39"/>
    <w:unhideWhenUsed/>
    <w:qFormat/>
    <w:rsid w:val="003B1184"/>
    <w:pPr>
      <w:tabs>
        <w:tab w:val="right" w:leader="dot" w:pos="8054"/>
      </w:tabs>
      <w:spacing w:after="100"/>
      <w:ind w:left="720"/>
    </w:pPr>
    <w:rPr>
      <w:rFonts w:eastAsia="Times New Roman"/>
    </w:rPr>
  </w:style>
  <w:style w:type="paragraph" w:styleId="TOC3">
    <w:name w:val="toc 3"/>
    <w:basedOn w:val="Normal"/>
    <w:next w:val="Normal"/>
    <w:autoRedefine/>
    <w:uiPriority w:val="39"/>
    <w:unhideWhenUsed/>
    <w:qFormat/>
    <w:rsid w:val="00541F2E"/>
    <w:pPr>
      <w:spacing w:after="100"/>
      <w:ind w:left="440"/>
    </w:pPr>
    <w:rPr>
      <w:rFonts w:eastAsia="Times New Roman"/>
    </w:rPr>
  </w:style>
  <w:style w:type="paragraph" w:styleId="TOC4">
    <w:name w:val="toc 4"/>
    <w:basedOn w:val="Normal"/>
    <w:next w:val="Normal"/>
    <w:autoRedefine/>
    <w:uiPriority w:val="39"/>
    <w:unhideWhenUsed/>
    <w:rsid w:val="0012724B"/>
    <w:pPr>
      <w:spacing w:after="100"/>
      <w:ind w:left="660"/>
    </w:pPr>
    <w:rPr>
      <w:rFonts w:eastAsia="Times New Roman"/>
    </w:rPr>
  </w:style>
  <w:style w:type="paragraph" w:styleId="TOC5">
    <w:name w:val="toc 5"/>
    <w:basedOn w:val="Normal"/>
    <w:next w:val="Normal"/>
    <w:autoRedefine/>
    <w:uiPriority w:val="39"/>
    <w:unhideWhenUsed/>
    <w:rsid w:val="0012724B"/>
    <w:pPr>
      <w:spacing w:after="100"/>
      <w:ind w:left="880"/>
    </w:pPr>
    <w:rPr>
      <w:rFonts w:eastAsia="Times New Roman"/>
    </w:rPr>
  </w:style>
  <w:style w:type="paragraph" w:styleId="TOC6">
    <w:name w:val="toc 6"/>
    <w:basedOn w:val="Normal"/>
    <w:next w:val="Normal"/>
    <w:autoRedefine/>
    <w:uiPriority w:val="39"/>
    <w:unhideWhenUsed/>
    <w:rsid w:val="0012724B"/>
    <w:pPr>
      <w:spacing w:after="100"/>
      <w:ind w:left="1100"/>
    </w:pPr>
    <w:rPr>
      <w:rFonts w:eastAsia="Times New Roman"/>
    </w:rPr>
  </w:style>
  <w:style w:type="paragraph" w:styleId="TOC7">
    <w:name w:val="toc 7"/>
    <w:basedOn w:val="Normal"/>
    <w:next w:val="Normal"/>
    <w:autoRedefine/>
    <w:uiPriority w:val="39"/>
    <w:unhideWhenUsed/>
    <w:rsid w:val="0012724B"/>
    <w:pPr>
      <w:spacing w:after="100"/>
      <w:ind w:left="1320"/>
    </w:pPr>
    <w:rPr>
      <w:rFonts w:eastAsia="Times New Roman"/>
    </w:rPr>
  </w:style>
  <w:style w:type="paragraph" w:styleId="TOC8">
    <w:name w:val="toc 8"/>
    <w:basedOn w:val="Normal"/>
    <w:next w:val="Normal"/>
    <w:autoRedefine/>
    <w:uiPriority w:val="39"/>
    <w:unhideWhenUsed/>
    <w:rsid w:val="0012724B"/>
    <w:pPr>
      <w:spacing w:after="100"/>
      <w:ind w:left="1540"/>
    </w:pPr>
    <w:rPr>
      <w:rFonts w:eastAsia="Times New Roman"/>
    </w:rPr>
  </w:style>
  <w:style w:type="paragraph" w:styleId="TOC9">
    <w:name w:val="toc 9"/>
    <w:basedOn w:val="Normal"/>
    <w:next w:val="Normal"/>
    <w:autoRedefine/>
    <w:uiPriority w:val="39"/>
    <w:unhideWhenUsed/>
    <w:rsid w:val="0012724B"/>
    <w:pPr>
      <w:spacing w:after="100"/>
      <w:ind w:left="1760"/>
    </w:pPr>
    <w:rPr>
      <w:rFonts w:eastAsia="Times New Roman"/>
    </w:rPr>
  </w:style>
  <w:style w:type="paragraph" w:customStyle="1" w:styleId="Default">
    <w:name w:val="Default"/>
    <w:rsid w:val="00AF7D8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3966AB"/>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link w:val="ListParagraph"/>
    <w:uiPriority w:val="34"/>
    <w:rsid w:val="00D844BC"/>
    <w:rPr>
      <w:sz w:val="22"/>
      <w:szCs w:val="22"/>
    </w:rPr>
  </w:style>
  <w:style w:type="paragraph" w:styleId="Revision">
    <w:name w:val="Revision"/>
    <w:hidden/>
    <w:uiPriority w:val="99"/>
    <w:semiHidden/>
    <w:rsid w:val="00493B26"/>
    <w:rPr>
      <w:sz w:val="22"/>
      <w:szCs w:val="22"/>
    </w:rPr>
  </w:style>
  <w:style w:type="character" w:styleId="FollowedHyperlink">
    <w:name w:val="FollowedHyperlink"/>
    <w:basedOn w:val="DefaultParagraphFont"/>
    <w:uiPriority w:val="99"/>
    <w:semiHidden/>
    <w:unhideWhenUsed/>
    <w:rsid w:val="00C77F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29442">
      <w:bodyDiv w:val="1"/>
      <w:marLeft w:val="0"/>
      <w:marRight w:val="0"/>
      <w:marTop w:val="0"/>
      <w:marBottom w:val="0"/>
      <w:divBdr>
        <w:top w:val="none" w:sz="0" w:space="0" w:color="auto"/>
        <w:left w:val="none" w:sz="0" w:space="0" w:color="auto"/>
        <w:bottom w:val="none" w:sz="0" w:space="0" w:color="auto"/>
        <w:right w:val="none" w:sz="0" w:space="0" w:color="auto"/>
      </w:divBdr>
    </w:div>
    <w:div w:id="313920139">
      <w:bodyDiv w:val="1"/>
      <w:marLeft w:val="0"/>
      <w:marRight w:val="0"/>
      <w:marTop w:val="0"/>
      <w:marBottom w:val="0"/>
      <w:divBdr>
        <w:top w:val="none" w:sz="0" w:space="0" w:color="auto"/>
        <w:left w:val="none" w:sz="0" w:space="0" w:color="auto"/>
        <w:bottom w:val="none" w:sz="0" w:space="0" w:color="auto"/>
        <w:right w:val="none" w:sz="0" w:space="0" w:color="auto"/>
      </w:divBdr>
    </w:div>
    <w:div w:id="334846942">
      <w:bodyDiv w:val="1"/>
      <w:marLeft w:val="0"/>
      <w:marRight w:val="0"/>
      <w:marTop w:val="0"/>
      <w:marBottom w:val="0"/>
      <w:divBdr>
        <w:top w:val="none" w:sz="0" w:space="0" w:color="auto"/>
        <w:left w:val="none" w:sz="0" w:space="0" w:color="auto"/>
        <w:bottom w:val="none" w:sz="0" w:space="0" w:color="auto"/>
        <w:right w:val="none" w:sz="0" w:space="0" w:color="auto"/>
      </w:divBdr>
      <w:divsChild>
        <w:div w:id="754980839">
          <w:marLeft w:val="547"/>
          <w:marRight w:val="0"/>
          <w:marTop w:val="120"/>
          <w:marBottom w:val="120"/>
          <w:divBdr>
            <w:top w:val="none" w:sz="0" w:space="0" w:color="auto"/>
            <w:left w:val="none" w:sz="0" w:space="0" w:color="auto"/>
            <w:bottom w:val="none" w:sz="0" w:space="0" w:color="auto"/>
            <w:right w:val="none" w:sz="0" w:space="0" w:color="auto"/>
          </w:divBdr>
        </w:div>
        <w:div w:id="1000735000">
          <w:marLeft w:val="547"/>
          <w:marRight w:val="0"/>
          <w:marTop w:val="120"/>
          <w:marBottom w:val="120"/>
          <w:divBdr>
            <w:top w:val="none" w:sz="0" w:space="0" w:color="auto"/>
            <w:left w:val="none" w:sz="0" w:space="0" w:color="auto"/>
            <w:bottom w:val="none" w:sz="0" w:space="0" w:color="auto"/>
            <w:right w:val="none" w:sz="0" w:space="0" w:color="auto"/>
          </w:divBdr>
        </w:div>
        <w:div w:id="27923233">
          <w:marLeft w:val="547"/>
          <w:marRight w:val="0"/>
          <w:marTop w:val="120"/>
          <w:marBottom w:val="120"/>
          <w:divBdr>
            <w:top w:val="none" w:sz="0" w:space="0" w:color="auto"/>
            <w:left w:val="none" w:sz="0" w:space="0" w:color="auto"/>
            <w:bottom w:val="none" w:sz="0" w:space="0" w:color="auto"/>
            <w:right w:val="none" w:sz="0" w:space="0" w:color="auto"/>
          </w:divBdr>
        </w:div>
        <w:div w:id="1549612563">
          <w:marLeft w:val="547"/>
          <w:marRight w:val="0"/>
          <w:marTop w:val="120"/>
          <w:marBottom w:val="120"/>
          <w:divBdr>
            <w:top w:val="none" w:sz="0" w:space="0" w:color="auto"/>
            <w:left w:val="none" w:sz="0" w:space="0" w:color="auto"/>
            <w:bottom w:val="none" w:sz="0" w:space="0" w:color="auto"/>
            <w:right w:val="none" w:sz="0" w:space="0" w:color="auto"/>
          </w:divBdr>
        </w:div>
        <w:div w:id="1118719437">
          <w:marLeft w:val="547"/>
          <w:marRight w:val="0"/>
          <w:marTop w:val="120"/>
          <w:marBottom w:val="120"/>
          <w:divBdr>
            <w:top w:val="none" w:sz="0" w:space="0" w:color="auto"/>
            <w:left w:val="none" w:sz="0" w:space="0" w:color="auto"/>
            <w:bottom w:val="none" w:sz="0" w:space="0" w:color="auto"/>
            <w:right w:val="none" w:sz="0" w:space="0" w:color="auto"/>
          </w:divBdr>
        </w:div>
        <w:div w:id="1191917985">
          <w:marLeft w:val="547"/>
          <w:marRight w:val="0"/>
          <w:marTop w:val="120"/>
          <w:marBottom w:val="120"/>
          <w:divBdr>
            <w:top w:val="none" w:sz="0" w:space="0" w:color="auto"/>
            <w:left w:val="none" w:sz="0" w:space="0" w:color="auto"/>
            <w:bottom w:val="none" w:sz="0" w:space="0" w:color="auto"/>
            <w:right w:val="none" w:sz="0" w:space="0" w:color="auto"/>
          </w:divBdr>
        </w:div>
        <w:div w:id="1787655707">
          <w:marLeft w:val="547"/>
          <w:marRight w:val="0"/>
          <w:marTop w:val="120"/>
          <w:marBottom w:val="120"/>
          <w:divBdr>
            <w:top w:val="none" w:sz="0" w:space="0" w:color="auto"/>
            <w:left w:val="none" w:sz="0" w:space="0" w:color="auto"/>
            <w:bottom w:val="none" w:sz="0" w:space="0" w:color="auto"/>
            <w:right w:val="none" w:sz="0" w:space="0" w:color="auto"/>
          </w:divBdr>
        </w:div>
      </w:divsChild>
    </w:div>
    <w:div w:id="419496834">
      <w:bodyDiv w:val="1"/>
      <w:marLeft w:val="0"/>
      <w:marRight w:val="0"/>
      <w:marTop w:val="0"/>
      <w:marBottom w:val="0"/>
      <w:divBdr>
        <w:top w:val="none" w:sz="0" w:space="0" w:color="auto"/>
        <w:left w:val="none" w:sz="0" w:space="0" w:color="auto"/>
        <w:bottom w:val="none" w:sz="0" w:space="0" w:color="auto"/>
        <w:right w:val="none" w:sz="0" w:space="0" w:color="auto"/>
      </w:divBdr>
    </w:div>
    <w:div w:id="547105365">
      <w:bodyDiv w:val="1"/>
      <w:marLeft w:val="0"/>
      <w:marRight w:val="0"/>
      <w:marTop w:val="0"/>
      <w:marBottom w:val="0"/>
      <w:divBdr>
        <w:top w:val="none" w:sz="0" w:space="0" w:color="auto"/>
        <w:left w:val="none" w:sz="0" w:space="0" w:color="auto"/>
        <w:bottom w:val="none" w:sz="0" w:space="0" w:color="auto"/>
        <w:right w:val="none" w:sz="0" w:space="0" w:color="auto"/>
      </w:divBdr>
      <w:divsChild>
        <w:div w:id="750128046">
          <w:marLeft w:val="576"/>
          <w:marRight w:val="0"/>
          <w:marTop w:val="80"/>
          <w:marBottom w:val="120"/>
          <w:divBdr>
            <w:top w:val="none" w:sz="0" w:space="0" w:color="auto"/>
            <w:left w:val="none" w:sz="0" w:space="0" w:color="auto"/>
            <w:bottom w:val="none" w:sz="0" w:space="0" w:color="auto"/>
            <w:right w:val="none" w:sz="0" w:space="0" w:color="auto"/>
          </w:divBdr>
        </w:div>
      </w:divsChild>
    </w:div>
    <w:div w:id="936057267">
      <w:bodyDiv w:val="1"/>
      <w:marLeft w:val="0"/>
      <w:marRight w:val="0"/>
      <w:marTop w:val="0"/>
      <w:marBottom w:val="0"/>
      <w:divBdr>
        <w:top w:val="none" w:sz="0" w:space="0" w:color="auto"/>
        <w:left w:val="none" w:sz="0" w:space="0" w:color="auto"/>
        <w:bottom w:val="none" w:sz="0" w:space="0" w:color="auto"/>
        <w:right w:val="none" w:sz="0" w:space="0" w:color="auto"/>
      </w:divBdr>
    </w:div>
    <w:div w:id="1084109342">
      <w:bodyDiv w:val="1"/>
      <w:marLeft w:val="0"/>
      <w:marRight w:val="0"/>
      <w:marTop w:val="0"/>
      <w:marBottom w:val="0"/>
      <w:divBdr>
        <w:top w:val="none" w:sz="0" w:space="0" w:color="auto"/>
        <w:left w:val="none" w:sz="0" w:space="0" w:color="auto"/>
        <w:bottom w:val="none" w:sz="0" w:space="0" w:color="auto"/>
        <w:right w:val="none" w:sz="0" w:space="0" w:color="auto"/>
      </w:divBdr>
    </w:div>
    <w:div w:id="1673756173">
      <w:bodyDiv w:val="1"/>
      <w:marLeft w:val="0"/>
      <w:marRight w:val="0"/>
      <w:marTop w:val="0"/>
      <w:marBottom w:val="0"/>
      <w:divBdr>
        <w:top w:val="none" w:sz="0" w:space="0" w:color="auto"/>
        <w:left w:val="none" w:sz="0" w:space="0" w:color="auto"/>
        <w:bottom w:val="none" w:sz="0" w:space="0" w:color="auto"/>
        <w:right w:val="none" w:sz="0" w:space="0" w:color="auto"/>
      </w:divBdr>
      <w:divsChild>
        <w:div w:id="961039396">
          <w:marLeft w:val="547"/>
          <w:marRight w:val="0"/>
          <w:marTop w:val="120"/>
          <w:marBottom w:val="120"/>
          <w:divBdr>
            <w:top w:val="none" w:sz="0" w:space="0" w:color="auto"/>
            <w:left w:val="none" w:sz="0" w:space="0" w:color="auto"/>
            <w:bottom w:val="none" w:sz="0" w:space="0" w:color="auto"/>
            <w:right w:val="none" w:sz="0" w:space="0" w:color="auto"/>
          </w:divBdr>
        </w:div>
        <w:div w:id="1823041129">
          <w:marLeft w:val="547"/>
          <w:marRight w:val="0"/>
          <w:marTop w:val="120"/>
          <w:marBottom w:val="120"/>
          <w:divBdr>
            <w:top w:val="none" w:sz="0" w:space="0" w:color="auto"/>
            <w:left w:val="none" w:sz="0" w:space="0" w:color="auto"/>
            <w:bottom w:val="none" w:sz="0" w:space="0" w:color="auto"/>
            <w:right w:val="none" w:sz="0" w:space="0" w:color="auto"/>
          </w:divBdr>
        </w:div>
        <w:div w:id="1097485682">
          <w:marLeft w:val="547"/>
          <w:marRight w:val="0"/>
          <w:marTop w:val="120"/>
          <w:marBottom w:val="120"/>
          <w:divBdr>
            <w:top w:val="none" w:sz="0" w:space="0" w:color="auto"/>
            <w:left w:val="none" w:sz="0" w:space="0" w:color="auto"/>
            <w:bottom w:val="none" w:sz="0" w:space="0" w:color="auto"/>
            <w:right w:val="none" w:sz="0" w:space="0" w:color="auto"/>
          </w:divBdr>
        </w:div>
        <w:div w:id="802046308">
          <w:marLeft w:val="547"/>
          <w:marRight w:val="0"/>
          <w:marTop w:val="120"/>
          <w:marBottom w:val="120"/>
          <w:divBdr>
            <w:top w:val="none" w:sz="0" w:space="0" w:color="auto"/>
            <w:left w:val="none" w:sz="0" w:space="0" w:color="auto"/>
            <w:bottom w:val="none" w:sz="0" w:space="0" w:color="auto"/>
            <w:right w:val="none" w:sz="0" w:space="0" w:color="auto"/>
          </w:divBdr>
        </w:div>
        <w:div w:id="1326932994">
          <w:marLeft w:val="547"/>
          <w:marRight w:val="0"/>
          <w:marTop w:val="120"/>
          <w:marBottom w:val="120"/>
          <w:divBdr>
            <w:top w:val="none" w:sz="0" w:space="0" w:color="auto"/>
            <w:left w:val="none" w:sz="0" w:space="0" w:color="auto"/>
            <w:bottom w:val="none" w:sz="0" w:space="0" w:color="auto"/>
            <w:right w:val="none" w:sz="0" w:space="0" w:color="auto"/>
          </w:divBdr>
        </w:div>
        <w:div w:id="1799488744">
          <w:marLeft w:val="547"/>
          <w:marRight w:val="0"/>
          <w:marTop w:val="120"/>
          <w:marBottom w:val="120"/>
          <w:divBdr>
            <w:top w:val="none" w:sz="0" w:space="0" w:color="auto"/>
            <w:left w:val="none" w:sz="0" w:space="0" w:color="auto"/>
            <w:bottom w:val="none" w:sz="0" w:space="0" w:color="auto"/>
            <w:right w:val="none" w:sz="0" w:space="0" w:color="auto"/>
          </w:divBdr>
        </w:div>
        <w:div w:id="1483539619">
          <w:marLeft w:val="547"/>
          <w:marRight w:val="0"/>
          <w:marTop w:val="120"/>
          <w:marBottom w:val="120"/>
          <w:divBdr>
            <w:top w:val="none" w:sz="0" w:space="0" w:color="auto"/>
            <w:left w:val="none" w:sz="0" w:space="0" w:color="auto"/>
            <w:bottom w:val="none" w:sz="0" w:space="0" w:color="auto"/>
            <w:right w:val="none" w:sz="0" w:space="0" w:color="auto"/>
          </w:divBdr>
        </w:div>
      </w:divsChild>
    </w:div>
    <w:div w:id="2065181274">
      <w:bodyDiv w:val="1"/>
      <w:marLeft w:val="0"/>
      <w:marRight w:val="0"/>
      <w:marTop w:val="0"/>
      <w:marBottom w:val="0"/>
      <w:divBdr>
        <w:top w:val="none" w:sz="0" w:space="0" w:color="auto"/>
        <w:left w:val="none" w:sz="0" w:space="0" w:color="auto"/>
        <w:bottom w:val="none" w:sz="0" w:space="0" w:color="auto"/>
        <w:right w:val="none" w:sz="0" w:space="0" w:color="auto"/>
      </w:divBdr>
      <w:divsChild>
        <w:div w:id="1501651384">
          <w:marLeft w:val="547"/>
          <w:marRight w:val="0"/>
          <w:marTop w:val="120"/>
          <w:marBottom w:val="120"/>
          <w:divBdr>
            <w:top w:val="none" w:sz="0" w:space="0" w:color="auto"/>
            <w:left w:val="none" w:sz="0" w:space="0" w:color="auto"/>
            <w:bottom w:val="none" w:sz="0" w:space="0" w:color="auto"/>
            <w:right w:val="none" w:sz="0" w:space="0" w:color="auto"/>
          </w:divBdr>
        </w:div>
        <w:div w:id="252976078">
          <w:marLeft w:val="547"/>
          <w:marRight w:val="0"/>
          <w:marTop w:val="120"/>
          <w:marBottom w:val="120"/>
          <w:divBdr>
            <w:top w:val="none" w:sz="0" w:space="0" w:color="auto"/>
            <w:left w:val="none" w:sz="0" w:space="0" w:color="auto"/>
            <w:bottom w:val="none" w:sz="0" w:space="0" w:color="auto"/>
            <w:right w:val="none" w:sz="0" w:space="0" w:color="auto"/>
          </w:divBdr>
        </w:div>
        <w:div w:id="554853545">
          <w:marLeft w:val="547"/>
          <w:marRight w:val="0"/>
          <w:marTop w:val="120"/>
          <w:marBottom w:val="120"/>
          <w:divBdr>
            <w:top w:val="none" w:sz="0" w:space="0" w:color="auto"/>
            <w:left w:val="none" w:sz="0" w:space="0" w:color="auto"/>
            <w:bottom w:val="none" w:sz="0" w:space="0" w:color="auto"/>
            <w:right w:val="none" w:sz="0" w:space="0" w:color="auto"/>
          </w:divBdr>
        </w:div>
        <w:div w:id="1445685623">
          <w:marLeft w:val="547"/>
          <w:marRight w:val="0"/>
          <w:marTop w:val="120"/>
          <w:marBottom w:val="120"/>
          <w:divBdr>
            <w:top w:val="none" w:sz="0" w:space="0" w:color="auto"/>
            <w:left w:val="none" w:sz="0" w:space="0" w:color="auto"/>
            <w:bottom w:val="none" w:sz="0" w:space="0" w:color="auto"/>
            <w:right w:val="none" w:sz="0" w:space="0" w:color="auto"/>
          </w:divBdr>
        </w:div>
        <w:div w:id="1136678128">
          <w:marLeft w:val="547"/>
          <w:marRight w:val="0"/>
          <w:marTop w:val="120"/>
          <w:marBottom w:val="120"/>
          <w:divBdr>
            <w:top w:val="none" w:sz="0" w:space="0" w:color="auto"/>
            <w:left w:val="none" w:sz="0" w:space="0" w:color="auto"/>
            <w:bottom w:val="none" w:sz="0" w:space="0" w:color="auto"/>
            <w:right w:val="none" w:sz="0" w:space="0" w:color="auto"/>
          </w:divBdr>
        </w:div>
        <w:div w:id="1559974548">
          <w:marLeft w:val="547"/>
          <w:marRight w:val="0"/>
          <w:marTop w:val="120"/>
          <w:marBottom w:val="120"/>
          <w:divBdr>
            <w:top w:val="none" w:sz="0" w:space="0" w:color="auto"/>
            <w:left w:val="none" w:sz="0" w:space="0" w:color="auto"/>
            <w:bottom w:val="none" w:sz="0" w:space="0" w:color="auto"/>
            <w:right w:val="none" w:sz="0" w:space="0" w:color="auto"/>
          </w:divBdr>
        </w:div>
        <w:div w:id="152790683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naab.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aab.org/f/documents/home.aspx?path=Public+Documents" TargetMode="External"/><Relationship Id="rId17" Type="http://schemas.openxmlformats.org/officeDocument/2006/relationships/hyperlink" Target="http://www.naab.org/accreditation/2013_Accreditation_Review.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aab.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ab.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3.xml"/><Relationship Id="rId10" Type="http://schemas.openxmlformats.org/officeDocument/2006/relationships/hyperlink" Target="http://www.naab.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aab.org" TargetMode="External"/><Relationship Id="rId14" Type="http://schemas.openxmlformats.org/officeDocument/2006/relationships/hyperlink" Target="http://www.naab.org/f/documents/home.aspx?path=Public+Document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EF0C3-FCFD-4FE8-9FA0-526412BD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26</Pages>
  <Words>8929</Words>
  <Characters>50898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2009 Conditions for Accreditation                                                         National Architectural Accrediting Board, Inc.</vt:lpstr>
    </vt:vector>
  </TitlesOfParts>
  <Company>Microsoft</Company>
  <LinksUpToDate>false</LinksUpToDate>
  <CharactersWithSpaces>59708</CharactersWithSpaces>
  <SharedDoc>false</SharedDoc>
  <HLinks>
    <vt:vector size="288" baseType="variant">
      <vt:variant>
        <vt:i4>393228</vt:i4>
      </vt:variant>
      <vt:variant>
        <vt:i4>276</vt:i4>
      </vt:variant>
      <vt:variant>
        <vt:i4>0</vt:i4>
      </vt:variant>
      <vt:variant>
        <vt:i4>5</vt:i4>
      </vt:variant>
      <vt:variant>
        <vt:lpwstr>http://www.acsa-arch.org/</vt:lpwstr>
      </vt:variant>
      <vt:variant>
        <vt:lpwstr/>
      </vt:variant>
      <vt:variant>
        <vt:i4>5767234</vt:i4>
      </vt:variant>
      <vt:variant>
        <vt:i4>273</vt:i4>
      </vt:variant>
      <vt:variant>
        <vt:i4>0</vt:i4>
      </vt:variant>
      <vt:variant>
        <vt:i4>5</vt:i4>
      </vt:variant>
      <vt:variant>
        <vt:lpwstr>http://www.aias.org/</vt:lpwstr>
      </vt:variant>
      <vt:variant>
        <vt:lpwstr/>
      </vt:variant>
      <vt:variant>
        <vt:i4>2293861</vt:i4>
      </vt:variant>
      <vt:variant>
        <vt:i4>270</vt:i4>
      </vt:variant>
      <vt:variant>
        <vt:i4>0</vt:i4>
      </vt:variant>
      <vt:variant>
        <vt:i4>5</vt:i4>
      </vt:variant>
      <vt:variant>
        <vt:lpwstr>http://www.aia.org/</vt:lpwstr>
      </vt:variant>
      <vt:variant>
        <vt:lpwstr/>
      </vt:variant>
      <vt:variant>
        <vt:i4>5111837</vt:i4>
      </vt:variant>
      <vt:variant>
        <vt:i4>267</vt:i4>
      </vt:variant>
      <vt:variant>
        <vt:i4>0</vt:i4>
      </vt:variant>
      <vt:variant>
        <vt:i4>5</vt:i4>
      </vt:variant>
      <vt:variant>
        <vt:lpwstr>http://www.ncarb.org/</vt:lpwstr>
      </vt:variant>
      <vt:variant>
        <vt:lpwstr/>
      </vt:variant>
      <vt:variant>
        <vt:i4>1048631</vt:i4>
      </vt:variant>
      <vt:variant>
        <vt:i4>260</vt:i4>
      </vt:variant>
      <vt:variant>
        <vt:i4>0</vt:i4>
      </vt:variant>
      <vt:variant>
        <vt:i4>5</vt:i4>
      </vt:variant>
      <vt:variant>
        <vt:lpwstr/>
      </vt:variant>
      <vt:variant>
        <vt:lpwstr>_Toc232416662</vt:lpwstr>
      </vt:variant>
      <vt:variant>
        <vt:i4>1048631</vt:i4>
      </vt:variant>
      <vt:variant>
        <vt:i4>254</vt:i4>
      </vt:variant>
      <vt:variant>
        <vt:i4>0</vt:i4>
      </vt:variant>
      <vt:variant>
        <vt:i4>5</vt:i4>
      </vt:variant>
      <vt:variant>
        <vt:lpwstr/>
      </vt:variant>
      <vt:variant>
        <vt:lpwstr>_Toc232416661</vt:lpwstr>
      </vt:variant>
      <vt:variant>
        <vt:i4>1048631</vt:i4>
      </vt:variant>
      <vt:variant>
        <vt:i4>248</vt:i4>
      </vt:variant>
      <vt:variant>
        <vt:i4>0</vt:i4>
      </vt:variant>
      <vt:variant>
        <vt:i4>5</vt:i4>
      </vt:variant>
      <vt:variant>
        <vt:lpwstr/>
      </vt:variant>
      <vt:variant>
        <vt:lpwstr>_Toc232416660</vt:lpwstr>
      </vt:variant>
      <vt:variant>
        <vt:i4>1245239</vt:i4>
      </vt:variant>
      <vt:variant>
        <vt:i4>242</vt:i4>
      </vt:variant>
      <vt:variant>
        <vt:i4>0</vt:i4>
      </vt:variant>
      <vt:variant>
        <vt:i4>5</vt:i4>
      </vt:variant>
      <vt:variant>
        <vt:lpwstr/>
      </vt:variant>
      <vt:variant>
        <vt:lpwstr>_Toc232416659</vt:lpwstr>
      </vt:variant>
      <vt:variant>
        <vt:i4>1245239</vt:i4>
      </vt:variant>
      <vt:variant>
        <vt:i4>236</vt:i4>
      </vt:variant>
      <vt:variant>
        <vt:i4>0</vt:i4>
      </vt:variant>
      <vt:variant>
        <vt:i4>5</vt:i4>
      </vt:variant>
      <vt:variant>
        <vt:lpwstr/>
      </vt:variant>
      <vt:variant>
        <vt:lpwstr>_Toc232416658</vt:lpwstr>
      </vt:variant>
      <vt:variant>
        <vt:i4>1245239</vt:i4>
      </vt:variant>
      <vt:variant>
        <vt:i4>230</vt:i4>
      </vt:variant>
      <vt:variant>
        <vt:i4>0</vt:i4>
      </vt:variant>
      <vt:variant>
        <vt:i4>5</vt:i4>
      </vt:variant>
      <vt:variant>
        <vt:lpwstr/>
      </vt:variant>
      <vt:variant>
        <vt:lpwstr>_Toc232416656</vt:lpwstr>
      </vt:variant>
      <vt:variant>
        <vt:i4>1245239</vt:i4>
      </vt:variant>
      <vt:variant>
        <vt:i4>224</vt:i4>
      </vt:variant>
      <vt:variant>
        <vt:i4>0</vt:i4>
      </vt:variant>
      <vt:variant>
        <vt:i4>5</vt:i4>
      </vt:variant>
      <vt:variant>
        <vt:lpwstr/>
      </vt:variant>
      <vt:variant>
        <vt:lpwstr>_Toc232416655</vt:lpwstr>
      </vt:variant>
      <vt:variant>
        <vt:i4>1245239</vt:i4>
      </vt:variant>
      <vt:variant>
        <vt:i4>218</vt:i4>
      </vt:variant>
      <vt:variant>
        <vt:i4>0</vt:i4>
      </vt:variant>
      <vt:variant>
        <vt:i4>5</vt:i4>
      </vt:variant>
      <vt:variant>
        <vt:lpwstr/>
      </vt:variant>
      <vt:variant>
        <vt:lpwstr>_Toc232416654</vt:lpwstr>
      </vt:variant>
      <vt:variant>
        <vt:i4>1245239</vt:i4>
      </vt:variant>
      <vt:variant>
        <vt:i4>212</vt:i4>
      </vt:variant>
      <vt:variant>
        <vt:i4>0</vt:i4>
      </vt:variant>
      <vt:variant>
        <vt:i4>5</vt:i4>
      </vt:variant>
      <vt:variant>
        <vt:lpwstr/>
      </vt:variant>
      <vt:variant>
        <vt:lpwstr>_Toc232416653</vt:lpwstr>
      </vt:variant>
      <vt:variant>
        <vt:i4>1245239</vt:i4>
      </vt:variant>
      <vt:variant>
        <vt:i4>206</vt:i4>
      </vt:variant>
      <vt:variant>
        <vt:i4>0</vt:i4>
      </vt:variant>
      <vt:variant>
        <vt:i4>5</vt:i4>
      </vt:variant>
      <vt:variant>
        <vt:lpwstr/>
      </vt:variant>
      <vt:variant>
        <vt:lpwstr>_Toc232416652</vt:lpwstr>
      </vt:variant>
      <vt:variant>
        <vt:i4>1245239</vt:i4>
      </vt:variant>
      <vt:variant>
        <vt:i4>200</vt:i4>
      </vt:variant>
      <vt:variant>
        <vt:i4>0</vt:i4>
      </vt:variant>
      <vt:variant>
        <vt:i4>5</vt:i4>
      </vt:variant>
      <vt:variant>
        <vt:lpwstr/>
      </vt:variant>
      <vt:variant>
        <vt:lpwstr>_Toc232416651</vt:lpwstr>
      </vt:variant>
      <vt:variant>
        <vt:i4>1245239</vt:i4>
      </vt:variant>
      <vt:variant>
        <vt:i4>194</vt:i4>
      </vt:variant>
      <vt:variant>
        <vt:i4>0</vt:i4>
      </vt:variant>
      <vt:variant>
        <vt:i4>5</vt:i4>
      </vt:variant>
      <vt:variant>
        <vt:lpwstr/>
      </vt:variant>
      <vt:variant>
        <vt:lpwstr>_Toc232416650</vt:lpwstr>
      </vt:variant>
      <vt:variant>
        <vt:i4>1179703</vt:i4>
      </vt:variant>
      <vt:variant>
        <vt:i4>188</vt:i4>
      </vt:variant>
      <vt:variant>
        <vt:i4>0</vt:i4>
      </vt:variant>
      <vt:variant>
        <vt:i4>5</vt:i4>
      </vt:variant>
      <vt:variant>
        <vt:lpwstr/>
      </vt:variant>
      <vt:variant>
        <vt:lpwstr>_Toc232416649</vt:lpwstr>
      </vt:variant>
      <vt:variant>
        <vt:i4>1179703</vt:i4>
      </vt:variant>
      <vt:variant>
        <vt:i4>182</vt:i4>
      </vt:variant>
      <vt:variant>
        <vt:i4>0</vt:i4>
      </vt:variant>
      <vt:variant>
        <vt:i4>5</vt:i4>
      </vt:variant>
      <vt:variant>
        <vt:lpwstr/>
      </vt:variant>
      <vt:variant>
        <vt:lpwstr>_Toc232416648</vt:lpwstr>
      </vt:variant>
      <vt:variant>
        <vt:i4>1179703</vt:i4>
      </vt:variant>
      <vt:variant>
        <vt:i4>176</vt:i4>
      </vt:variant>
      <vt:variant>
        <vt:i4>0</vt:i4>
      </vt:variant>
      <vt:variant>
        <vt:i4>5</vt:i4>
      </vt:variant>
      <vt:variant>
        <vt:lpwstr/>
      </vt:variant>
      <vt:variant>
        <vt:lpwstr>_Toc232416647</vt:lpwstr>
      </vt:variant>
      <vt:variant>
        <vt:i4>1179703</vt:i4>
      </vt:variant>
      <vt:variant>
        <vt:i4>170</vt:i4>
      </vt:variant>
      <vt:variant>
        <vt:i4>0</vt:i4>
      </vt:variant>
      <vt:variant>
        <vt:i4>5</vt:i4>
      </vt:variant>
      <vt:variant>
        <vt:lpwstr/>
      </vt:variant>
      <vt:variant>
        <vt:lpwstr>_Toc232416646</vt:lpwstr>
      </vt:variant>
      <vt:variant>
        <vt:i4>1179703</vt:i4>
      </vt:variant>
      <vt:variant>
        <vt:i4>164</vt:i4>
      </vt:variant>
      <vt:variant>
        <vt:i4>0</vt:i4>
      </vt:variant>
      <vt:variant>
        <vt:i4>5</vt:i4>
      </vt:variant>
      <vt:variant>
        <vt:lpwstr/>
      </vt:variant>
      <vt:variant>
        <vt:lpwstr>_Toc232416645</vt:lpwstr>
      </vt:variant>
      <vt:variant>
        <vt:i4>1179703</vt:i4>
      </vt:variant>
      <vt:variant>
        <vt:i4>158</vt:i4>
      </vt:variant>
      <vt:variant>
        <vt:i4>0</vt:i4>
      </vt:variant>
      <vt:variant>
        <vt:i4>5</vt:i4>
      </vt:variant>
      <vt:variant>
        <vt:lpwstr/>
      </vt:variant>
      <vt:variant>
        <vt:lpwstr>_Toc232416644</vt:lpwstr>
      </vt:variant>
      <vt:variant>
        <vt:i4>1179703</vt:i4>
      </vt:variant>
      <vt:variant>
        <vt:i4>152</vt:i4>
      </vt:variant>
      <vt:variant>
        <vt:i4>0</vt:i4>
      </vt:variant>
      <vt:variant>
        <vt:i4>5</vt:i4>
      </vt:variant>
      <vt:variant>
        <vt:lpwstr/>
      </vt:variant>
      <vt:variant>
        <vt:lpwstr>_Toc232416643</vt:lpwstr>
      </vt:variant>
      <vt:variant>
        <vt:i4>1376311</vt:i4>
      </vt:variant>
      <vt:variant>
        <vt:i4>146</vt:i4>
      </vt:variant>
      <vt:variant>
        <vt:i4>0</vt:i4>
      </vt:variant>
      <vt:variant>
        <vt:i4>5</vt:i4>
      </vt:variant>
      <vt:variant>
        <vt:lpwstr/>
      </vt:variant>
      <vt:variant>
        <vt:lpwstr>_Toc232416633</vt:lpwstr>
      </vt:variant>
      <vt:variant>
        <vt:i4>1441847</vt:i4>
      </vt:variant>
      <vt:variant>
        <vt:i4>140</vt:i4>
      </vt:variant>
      <vt:variant>
        <vt:i4>0</vt:i4>
      </vt:variant>
      <vt:variant>
        <vt:i4>5</vt:i4>
      </vt:variant>
      <vt:variant>
        <vt:lpwstr/>
      </vt:variant>
      <vt:variant>
        <vt:lpwstr>_Toc232416609</vt:lpwstr>
      </vt:variant>
      <vt:variant>
        <vt:i4>2031668</vt:i4>
      </vt:variant>
      <vt:variant>
        <vt:i4>134</vt:i4>
      </vt:variant>
      <vt:variant>
        <vt:i4>0</vt:i4>
      </vt:variant>
      <vt:variant>
        <vt:i4>5</vt:i4>
      </vt:variant>
      <vt:variant>
        <vt:lpwstr/>
      </vt:variant>
      <vt:variant>
        <vt:lpwstr>_Toc232416598</vt:lpwstr>
      </vt:variant>
      <vt:variant>
        <vt:i4>2031668</vt:i4>
      </vt:variant>
      <vt:variant>
        <vt:i4>128</vt:i4>
      </vt:variant>
      <vt:variant>
        <vt:i4>0</vt:i4>
      </vt:variant>
      <vt:variant>
        <vt:i4>5</vt:i4>
      </vt:variant>
      <vt:variant>
        <vt:lpwstr/>
      </vt:variant>
      <vt:variant>
        <vt:lpwstr>_Toc232416597</vt:lpwstr>
      </vt:variant>
      <vt:variant>
        <vt:i4>2031668</vt:i4>
      </vt:variant>
      <vt:variant>
        <vt:i4>122</vt:i4>
      </vt:variant>
      <vt:variant>
        <vt:i4>0</vt:i4>
      </vt:variant>
      <vt:variant>
        <vt:i4>5</vt:i4>
      </vt:variant>
      <vt:variant>
        <vt:lpwstr/>
      </vt:variant>
      <vt:variant>
        <vt:lpwstr>_Toc232416596</vt:lpwstr>
      </vt:variant>
      <vt:variant>
        <vt:i4>2031668</vt:i4>
      </vt:variant>
      <vt:variant>
        <vt:i4>116</vt:i4>
      </vt:variant>
      <vt:variant>
        <vt:i4>0</vt:i4>
      </vt:variant>
      <vt:variant>
        <vt:i4>5</vt:i4>
      </vt:variant>
      <vt:variant>
        <vt:lpwstr/>
      </vt:variant>
      <vt:variant>
        <vt:lpwstr>_Toc232416595</vt:lpwstr>
      </vt:variant>
      <vt:variant>
        <vt:i4>2031668</vt:i4>
      </vt:variant>
      <vt:variant>
        <vt:i4>110</vt:i4>
      </vt:variant>
      <vt:variant>
        <vt:i4>0</vt:i4>
      </vt:variant>
      <vt:variant>
        <vt:i4>5</vt:i4>
      </vt:variant>
      <vt:variant>
        <vt:lpwstr/>
      </vt:variant>
      <vt:variant>
        <vt:lpwstr>_Toc232416594</vt:lpwstr>
      </vt:variant>
      <vt:variant>
        <vt:i4>2031668</vt:i4>
      </vt:variant>
      <vt:variant>
        <vt:i4>104</vt:i4>
      </vt:variant>
      <vt:variant>
        <vt:i4>0</vt:i4>
      </vt:variant>
      <vt:variant>
        <vt:i4>5</vt:i4>
      </vt:variant>
      <vt:variant>
        <vt:lpwstr/>
      </vt:variant>
      <vt:variant>
        <vt:lpwstr>_Toc232416593</vt:lpwstr>
      </vt:variant>
      <vt:variant>
        <vt:i4>2031668</vt:i4>
      </vt:variant>
      <vt:variant>
        <vt:i4>98</vt:i4>
      </vt:variant>
      <vt:variant>
        <vt:i4>0</vt:i4>
      </vt:variant>
      <vt:variant>
        <vt:i4>5</vt:i4>
      </vt:variant>
      <vt:variant>
        <vt:lpwstr/>
      </vt:variant>
      <vt:variant>
        <vt:lpwstr>_Toc232416592</vt:lpwstr>
      </vt:variant>
      <vt:variant>
        <vt:i4>2031668</vt:i4>
      </vt:variant>
      <vt:variant>
        <vt:i4>92</vt:i4>
      </vt:variant>
      <vt:variant>
        <vt:i4>0</vt:i4>
      </vt:variant>
      <vt:variant>
        <vt:i4>5</vt:i4>
      </vt:variant>
      <vt:variant>
        <vt:lpwstr/>
      </vt:variant>
      <vt:variant>
        <vt:lpwstr>_Toc232416591</vt:lpwstr>
      </vt:variant>
      <vt:variant>
        <vt:i4>2031668</vt:i4>
      </vt:variant>
      <vt:variant>
        <vt:i4>86</vt:i4>
      </vt:variant>
      <vt:variant>
        <vt:i4>0</vt:i4>
      </vt:variant>
      <vt:variant>
        <vt:i4>5</vt:i4>
      </vt:variant>
      <vt:variant>
        <vt:lpwstr/>
      </vt:variant>
      <vt:variant>
        <vt:lpwstr>_Toc232416590</vt:lpwstr>
      </vt:variant>
      <vt:variant>
        <vt:i4>1966132</vt:i4>
      </vt:variant>
      <vt:variant>
        <vt:i4>80</vt:i4>
      </vt:variant>
      <vt:variant>
        <vt:i4>0</vt:i4>
      </vt:variant>
      <vt:variant>
        <vt:i4>5</vt:i4>
      </vt:variant>
      <vt:variant>
        <vt:lpwstr/>
      </vt:variant>
      <vt:variant>
        <vt:lpwstr>_Toc232416589</vt:lpwstr>
      </vt:variant>
      <vt:variant>
        <vt:i4>1966132</vt:i4>
      </vt:variant>
      <vt:variant>
        <vt:i4>74</vt:i4>
      </vt:variant>
      <vt:variant>
        <vt:i4>0</vt:i4>
      </vt:variant>
      <vt:variant>
        <vt:i4>5</vt:i4>
      </vt:variant>
      <vt:variant>
        <vt:lpwstr/>
      </vt:variant>
      <vt:variant>
        <vt:lpwstr>_Toc232416588</vt:lpwstr>
      </vt:variant>
      <vt:variant>
        <vt:i4>1966132</vt:i4>
      </vt:variant>
      <vt:variant>
        <vt:i4>68</vt:i4>
      </vt:variant>
      <vt:variant>
        <vt:i4>0</vt:i4>
      </vt:variant>
      <vt:variant>
        <vt:i4>5</vt:i4>
      </vt:variant>
      <vt:variant>
        <vt:lpwstr/>
      </vt:variant>
      <vt:variant>
        <vt:lpwstr>_Toc232416587</vt:lpwstr>
      </vt:variant>
      <vt:variant>
        <vt:i4>1966132</vt:i4>
      </vt:variant>
      <vt:variant>
        <vt:i4>62</vt:i4>
      </vt:variant>
      <vt:variant>
        <vt:i4>0</vt:i4>
      </vt:variant>
      <vt:variant>
        <vt:i4>5</vt:i4>
      </vt:variant>
      <vt:variant>
        <vt:lpwstr/>
      </vt:variant>
      <vt:variant>
        <vt:lpwstr>_Toc232416586</vt:lpwstr>
      </vt:variant>
      <vt:variant>
        <vt:i4>1966132</vt:i4>
      </vt:variant>
      <vt:variant>
        <vt:i4>56</vt:i4>
      </vt:variant>
      <vt:variant>
        <vt:i4>0</vt:i4>
      </vt:variant>
      <vt:variant>
        <vt:i4>5</vt:i4>
      </vt:variant>
      <vt:variant>
        <vt:lpwstr/>
      </vt:variant>
      <vt:variant>
        <vt:lpwstr>_Toc232416585</vt:lpwstr>
      </vt:variant>
      <vt:variant>
        <vt:i4>1966132</vt:i4>
      </vt:variant>
      <vt:variant>
        <vt:i4>50</vt:i4>
      </vt:variant>
      <vt:variant>
        <vt:i4>0</vt:i4>
      </vt:variant>
      <vt:variant>
        <vt:i4>5</vt:i4>
      </vt:variant>
      <vt:variant>
        <vt:lpwstr/>
      </vt:variant>
      <vt:variant>
        <vt:lpwstr>_Toc232416584</vt:lpwstr>
      </vt:variant>
      <vt:variant>
        <vt:i4>1114164</vt:i4>
      </vt:variant>
      <vt:variant>
        <vt:i4>44</vt:i4>
      </vt:variant>
      <vt:variant>
        <vt:i4>0</vt:i4>
      </vt:variant>
      <vt:variant>
        <vt:i4>5</vt:i4>
      </vt:variant>
      <vt:variant>
        <vt:lpwstr/>
      </vt:variant>
      <vt:variant>
        <vt:lpwstr>_Toc232416577</vt:lpwstr>
      </vt:variant>
      <vt:variant>
        <vt:i4>1114164</vt:i4>
      </vt:variant>
      <vt:variant>
        <vt:i4>38</vt:i4>
      </vt:variant>
      <vt:variant>
        <vt:i4>0</vt:i4>
      </vt:variant>
      <vt:variant>
        <vt:i4>5</vt:i4>
      </vt:variant>
      <vt:variant>
        <vt:lpwstr/>
      </vt:variant>
      <vt:variant>
        <vt:lpwstr>_Toc232416576</vt:lpwstr>
      </vt:variant>
      <vt:variant>
        <vt:i4>1114164</vt:i4>
      </vt:variant>
      <vt:variant>
        <vt:i4>32</vt:i4>
      </vt:variant>
      <vt:variant>
        <vt:i4>0</vt:i4>
      </vt:variant>
      <vt:variant>
        <vt:i4>5</vt:i4>
      </vt:variant>
      <vt:variant>
        <vt:lpwstr/>
      </vt:variant>
      <vt:variant>
        <vt:lpwstr>_Toc232416575</vt:lpwstr>
      </vt:variant>
      <vt:variant>
        <vt:i4>1114164</vt:i4>
      </vt:variant>
      <vt:variant>
        <vt:i4>26</vt:i4>
      </vt:variant>
      <vt:variant>
        <vt:i4>0</vt:i4>
      </vt:variant>
      <vt:variant>
        <vt:i4>5</vt:i4>
      </vt:variant>
      <vt:variant>
        <vt:lpwstr/>
      </vt:variant>
      <vt:variant>
        <vt:lpwstr>_Toc232416574</vt:lpwstr>
      </vt:variant>
      <vt:variant>
        <vt:i4>1114164</vt:i4>
      </vt:variant>
      <vt:variant>
        <vt:i4>20</vt:i4>
      </vt:variant>
      <vt:variant>
        <vt:i4>0</vt:i4>
      </vt:variant>
      <vt:variant>
        <vt:i4>5</vt:i4>
      </vt:variant>
      <vt:variant>
        <vt:lpwstr/>
      </vt:variant>
      <vt:variant>
        <vt:lpwstr>_Toc232416573</vt:lpwstr>
      </vt:variant>
      <vt:variant>
        <vt:i4>1114164</vt:i4>
      </vt:variant>
      <vt:variant>
        <vt:i4>14</vt:i4>
      </vt:variant>
      <vt:variant>
        <vt:i4>0</vt:i4>
      </vt:variant>
      <vt:variant>
        <vt:i4>5</vt:i4>
      </vt:variant>
      <vt:variant>
        <vt:lpwstr/>
      </vt:variant>
      <vt:variant>
        <vt:lpwstr>_Toc232416572</vt:lpwstr>
      </vt:variant>
      <vt:variant>
        <vt:i4>1114164</vt:i4>
      </vt:variant>
      <vt:variant>
        <vt:i4>8</vt:i4>
      </vt:variant>
      <vt:variant>
        <vt:i4>0</vt:i4>
      </vt:variant>
      <vt:variant>
        <vt:i4>5</vt:i4>
      </vt:variant>
      <vt:variant>
        <vt:lpwstr/>
      </vt:variant>
      <vt:variant>
        <vt:lpwstr>_Toc232416571</vt:lpwstr>
      </vt:variant>
      <vt:variant>
        <vt:i4>1114164</vt:i4>
      </vt:variant>
      <vt:variant>
        <vt:i4>2</vt:i4>
      </vt:variant>
      <vt:variant>
        <vt:i4>0</vt:i4>
      </vt:variant>
      <vt:variant>
        <vt:i4>5</vt:i4>
      </vt:variant>
      <vt:variant>
        <vt:lpwstr/>
      </vt:variant>
      <vt:variant>
        <vt:lpwstr>_Toc232416570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Conditions for Accreditation                                                         National Architectural Accrediting Board, Inc.</dc:title>
  <dc:subject>The National Architectural Accrediting Board, Inc.</dc:subject>
  <dc:creator>Andrea Rutledge</dc:creator>
  <cp:lastModifiedBy>Andrea Rutledge</cp:lastModifiedBy>
  <cp:revision>13</cp:revision>
  <cp:lastPrinted>2014-07-28T20:16:00Z</cp:lastPrinted>
  <dcterms:created xsi:type="dcterms:W3CDTF">2016-09-27T20:44:00Z</dcterms:created>
  <dcterms:modified xsi:type="dcterms:W3CDTF">2017-03-20T19:33:00Z</dcterms:modified>
</cp:coreProperties>
</file>